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233" w:rsidRDefault="00CA0B92">
      <w:pPr>
        <w:pStyle w:val="10"/>
        <w:spacing w:beforeLines="50" w:before="156" w:afterLines="50" w:after="156"/>
        <w:ind w:firstLineChars="0" w:firstLine="0"/>
        <w:contextualSpacing/>
        <w:jc w:val="distribute"/>
        <w:rPr>
          <w:rFonts w:eastAsia="黑体"/>
          <w:kern w:val="0"/>
          <w:sz w:val="48"/>
          <w:szCs w:val="48"/>
        </w:rPr>
      </w:pPr>
      <w:r>
        <w:rPr>
          <w:rFonts w:eastAsia="黑体" w:hAnsi="黑体"/>
          <w:kern w:val="0"/>
          <w:sz w:val="48"/>
          <w:szCs w:val="48"/>
        </w:rPr>
        <w:t>绿色食品生产操作规程</w:t>
      </w:r>
    </w:p>
    <w:p w:rsidR="00786233" w:rsidRDefault="00CA0B92">
      <w:pPr>
        <w:pStyle w:val="10"/>
        <w:wordWrap w:val="0"/>
        <w:spacing w:beforeLines="50" w:before="156" w:afterLines="50" w:after="156"/>
        <w:ind w:left="357" w:firstLineChars="0" w:firstLine="0"/>
        <w:contextualSpacing/>
        <w:jc w:val="right"/>
        <w:rPr>
          <w:rFonts w:ascii="黑体" w:eastAsia="黑体" w:hAnsi="黑体"/>
          <w:kern w:val="0"/>
          <w:sz w:val="28"/>
          <w:szCs w:val="28"/>
        </w:rPr>
      </w:pPr>
      <w:bookmarkStart w:id="0" w:name="_Hlk160785492"/>
      <w:r>
        <w:rPr>
          <w:rFonts w:eastAsia="黑体" w:hint="eastAsia"/>
          <w:kern w:val="0"/>
          <w:sz w:val="28"/>
          <w:szCs w:val="28"/>
        </w:rPr>
        <w:t>L</w:t>
      </w:r>
      <w:r>
        <w:rPr>
          <w:rFonts w:eastAsia="黑体"/>
          <w:kern w:val="0"/>
          <w:sz w:val="28"/>
          <w:szCs w:val="28"/>
        </w:rPr>
        <w:t xml:space="preserve">B/T </w:t>
      </w:r>
      <w:bookmarkEnd w:id="0"/>
      <w:r w:rsidR="004137B0">
        <w:rPr>
          <w:rFonts w:ascii="黑体" w:eastAsia="黑体" w:hAnsi="黑体" w:cs="宋体" w:hint="eastAsia"/>
          <w:sz w:val="28"/>
          <w:szCs w:val="28"/>
        </w:rPr>
        <w:t>361</w:t>
      </w:r>
      <w:r>
        <w:rPr>
          <w:rFonts w:ascii="黑体" w:eastAsia="黑体" w:hAnsi="黑体"/>
          <w:kern w:val="0"/>
          <w:sz w:val="28"/>
          <w:szCs w:val="28"/>
        </w:rPr>
        <w:t>-202</w:t>
      </w:r>
      <w:r>
        <w:rPr>
          <w:rFonts w:ascii="黑体" w:eastAsia="黑体" w:hAnsi="黑体" w:hint="eastAsia"/>
          <w:kern w:val="0"/>
          <w:sz w:val="28"/>
          <w:szCs w:val="28"/>
        </w:rPr>
        <w:t>6</w:t>
      </w:r>
    </w:p>
    <w:p w:rsidR="00786233" w:rsidRDefault="00CA0B92">
      <w:pPr>
        <w:pStyle w:val="10"/>
        <w:spacing w:beforeLines="50" w:before="156" w:afterLines="50" w:after="156"/>
        <w:ind w:left="357" w:firstLineChars="0" w:firstLine="0"/>
        <w:contextualSpacing/>
        <w:jc w:val="right"/>
        <w:rPr>
          <w:rFonts w:eastAsia="黑体"/>
          <w:kern w:val="0"/>
          <w:sz w:val="28"/>
          <w:szCs w:val="28"/>
        </w:rPr>
      </w:pPr>
      <w:r>
        <w:rPr>
          <w:rFonts w:eastAsia="黑体"/>
          <w:noProof/>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160020</wp:posOffset>
                </wp:positionH>
                <wp:positionV relativeFrom="paragraph">
                  <wp:posOffset>76200</wp:posOffset>
                </wp:positionV>
                <wp:extent cx="5173980" cy="0"/>
                <wp:effectExtent l="0" t="4445" r="0" b="5080"/>
                <wp:wrapNone/>
                <wp:docPr id="7" name="直接箭头连接符 7"/>
                <wp:cNvGraphicFramePr/>
                <a:graphic xmlns:a="http://schemas.openxmlformats.org/drawingml/2006/main">
                  <a:graphicData uri="http://schemas.microsoft.com/office/word/2010/wordprocessingShape">
                    <wps:wsp>
                      <wps:cNvCnPr/>
                      <wps:spPr>
                        <a:xfrm>
                          <a:off x="0" y="0"/>
                          <a:ext cx="517398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type w14:anchorId="79962C54" id="_x0000_t32" coordsize="21600,21600" o:spt="32" o:oned="t" path="m,l21600,21600e" filled="f">
                <v:path arrowok="t" fillok="f" o:connecttype="none"/>
                <o:lock v:ext="edit" shapetype="t"/>
              </v:shapetype>
              <v:shape id="直接箭头连接符 7" o:spid="_x0000_s1026" type="#_x0000_t32" style="position:absolute;left:0;text-align:left;margin-left:12.6pt;margin-top:6pt;width:407.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"/>
            </w:pict>
          </mc:Fallback>
        </mc:AlternateContent>
      </w: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Pr="00524370" w:rsidRDefault="00786233">
      <w:pPr>
        <w:pStyle w:val="10"/>
        <w:spacing w:beforeLines="50" w:before="156" w:afterLines="50" w:after="156" w:line="360" w:lineRule="auto"/>
        <w:ind w:left="357" w:firstLineChars="0" w:firstLine="0"/>
        <w:contextualSpacing/>
        <w:jc w:val="center"/>
        <w:rPr>
          <w:rFonts w:eastAsia="黑体"/>
          <w:kern w:val="0"/>
          <w:sz w:val="18"/>
          <w:szCs w:val="18"/>
        </w:rPr>
      </w:pPr>
    </w:p>
    <w:p w:rsidR="00786233" w:rsidRDefault="00786233">
      <w:pPr>
        <w:pStyle w:val="10"/>
        <w:spacing w:beforeLines="50" w:before="156" w:afterLines="50" w:after="156" w:line="360" w:lineRule="auto"/>
        <w:ind w:firstLineChars="0" w:firstLine="0"/>
        <w:contextualSpacing/>
        <w:jc w:val="center"/>
        <w:rPr>
          <w:rFonts w:ascii="黑体" w:eastAsia="黑体" w:hAnsi="黑体" w:cs="宋体"/>
          <w:sz w:val="18"/>
          <w:szCs w:val="18"/>
        </w:rPr>
      </w:pPr>
    </w:p>
    <w:p w:rsidR="00786233" w:rsidRDefault="00786233">
      <w:pPr>
        <w:pStyle w:val="10"/>
        <w:spacing w:beforeLines="50" w:before="156" w:afterLines="50" w:after="156" w:line="360" w:lineRule="auto"/>
        <w:ind w:firstLineChars="0" w:firstLine="0"/>
        <w:contextualSpacing/>
        <w:jc w:val="center"/>
        <w:rPr>
          <w:rFonts w:ascii="黑体" w:eastAsia="黑体" w:hAnsi="黑体" w:cs="宋体"/>
          <w:sz w:val="18"/>
          <w:szCs w:val="18"/>
        </w:rPr>
      </w:pPr>
    </w:p>
    <w:p w:rsidR="00786233" w:rsidRDefault="00786233">
      <w:pPr>
        <w:pStyle w:val="10"/>
        <w:spacing w:beforeLines="50" w:before="156" w:afterLines="50" w:after="156" w:line="360" w:lineRule="auto"/>
        <w:ind w:firstLineChars="0" w:firstLine="0"/>
        <w:contextualSpacing/>
        <w:jc w:val="center"/>
        <w:rPr>
          <w:rFonts w:ascii="黑体" w:eastAsia="黑体" w:hAnsi="黑体" w:cs="宋体"/>
          <w:sz w:val="18"/>
          <w:szCs w:val="18"/>
        </w:rPr>
      </w:pPr>
    </w:p>
    <w:p w:rsidR="00786233" w:rsidRDefault="00CA0B92" w:rsidP="009E7223">
      <w:pPr>
        <w:pStyle w:val="10"/>
        <w:spacing w:beforeLines="50" w:before="156" w:afterLines="50" w:after="156" w:line="360" w:lineRule="auto"/>
        <w:ind w:firstLineChars="0" w:firstLine="0"/>
        <w:contextualSpacing/>
        <w:jc w:val="center"/>
        <w:rPr>
          <w:rFonts w:ascii="黑体" w:eastAsia="黑体" w:hAnsi="黑体"/>
          <w:sz w:val="48"/>
          <w:szCs w:val="48"/>
        </w:rPr>
      </w:pPr>
      <w:r>
        <w:rPr>
          <w:rFonts w:ascii="黑体" w:eastAsia="黑体" w:hAnsi="黑体" w:hint="eastAsia"/>
          <w:sz w:val="48"/>
          <w:szCs w:val="48"/>
        </w:rPr>
        <w:t>绿色食品</w:t>
      </w:r>
      <w:r>
        <w:rPr>
          <w:rFonts w:ascii="黑体" w:eastAsia="黑体" w:hAnsi="黑体" w:cs="宋体" w:hint="eastAsia"/>
          <w:sz w:val="48"/>
          <w:szCs w:val="48"/>
        </w:rPr>
        <w:t>杏</w:t>
      </w:r>
      <w:r>
        <w:rPr>
          <w:rFonts w:ascii="黑体" w:eastAsia="黑体" w:hAnsi="黑体" w:hint="eastAsia"/>
          <w:sz w:val="48"/>
          <w:szCs w:val="48"/>
        </w:rPr>
        <w:t>生产操作规程</w:t>
      </w:r>
    </w:p>
    <w:p w:rsidR="00786233" w:rsidRDefault="00786233">
      <w:pPr>
        <w:pStyle w:val="10"/>
        <w:spacing w:beforeLines="50" w:before="156" w:afterLines="50" w:after="156" w:line="360" w:lineRule="auto"/>
        <w:ind w:left="357" w:firstLineChars="0" w:firstLine="0"/>
        <w:contextualSpacing/>
        <w:jc w:val="center"/>
        <w:rPr>
          <w:rFonts w:ascii="宋体" w:hAnsi="宋体" w:cs="宋体"/>
          <w:sz w:val="36"/>
          <w:szCs w:val="36"/>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firstLineChars="0" w:firstLine="0"/>
        <w:contextualSpacing/>
        <w:rPr>
          <w:rFonts w:eastAsia="黑体"/>
          <w:kern w:val="0"/>
          <w:sz w:val="32"/>
          <w:szCs w:val="32"/>
        </w:rPr>
      </w:pPr>
    </w:p>
    <w:p w:rsidR="00786233" w:rsidRDefault="00786233">
      <w:pPr>
        <w:pStyle w:val="10"/>
        <w:spacing w:beforeLines="50" w:before="156" w:afterLines="50" w:after="156"/>
        <w:ind w:left="357" w:firstLineChars="0" w:firstLine="0"/>
        <w:contextualSpacing/>
        <w:jc w:val="center"/>
        <w:rPr>
          <w:rFonts w:eastAsia="黑体"/>
          <w:kern w:val="0"/>
          <w:sz w:val="32"/>
          <w:szCs w:val="32"/>
        </w:rPr>
      </w:pPr>
    </w:p>
    <w:p w:rsidR="00786233" w:rsidRDefault="00786233">
      <w:pPr>
        <w:pStyle w:val="10"/>
        <w:spacing w:beforeLines="50" w:before="156" w:afterLines="50" w:after="156"/>
        <w:ind w:firstLineChars="0" w:firstLine="0"/>
        <w:contextualSpacing/>
        <w:jc w:val="center"/>
        <w:rPr>
          <w:rFonts w:eastAsia="黑体"/>
          <w:kern w:val="0"/>
          <w:sz w:val="32"/>
          <w:szCs w:val="32"/>
        </w:rPr>
      </w:pPr>
    </w:p>
    <w:p w:rsidR="00786233" w:rsidRDefault="00786233">
      <w:pPr>
        <w:pStyle w:val="10"/>
        <w:spacing w:beforeLines="50" w:before="156" w:afterLines="50" w:after="156"/>
        <w:ind w:firstLineChars="0" w:firstLine="0"/>
        <w:contextualSpacing/>
        <w:rPr>
          <w:rFonts w:eastAsia="黑体"/>
          <w:kern w:val="0"/>
          <w:sz w:val="32"/>
          <w:szCs w:val="32"/>
        </w:rPr>
      </w:pPr>
    </w:p>
    <w:p w:rsidR="00786233" w:rsidRDefault="004137B0">
      <w:pPr>
        <w:pStyle w:val="10"/>
        <w:spacing w:beforeLines="50" w:before="156" w:afterLines="50" w:after="156"/>
        <w:ind w:left="357" w:firstLineChars="0" w:firstLine="0"/>
        <w:contextualSpacing/>
        <w:jc w:val="left"/>
        <w:rPr>
          <w:rFonts w:ascii="黑体" w:eastAsia="黑体" w:hAnsi="黑体" w:cs="宋体"/>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bookmarkStart w:id="1" w:name="_GoBack"/>
      <w:bookmarkEnd w:id="1"/>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786233" w:rsidRDefault="00CA0B92">
      <w:pPr>
        <w:pStyle w:val="10"/>
        <w:spacing w:beforeLines="50" w:before="156" w:afterLines="50" w:after="156"/>
        <w:ind w:left="357" w:firstLineChars="0" w:firstLine="0"/>
        <w:contextualSpacing/>
        <w:jc w:val="left"/>
        <w:rPr>
          <w:rFonts w:eastAsia="黑体"/>
          <w:kern w:val="0"/>
          <w:sz w:val="24"/>
          <w:szCs w:val="24"/>
        </w:rPr>
      </w:pPr>
      <w:r>
        <w:rPr>
          <w:rFonts w:eastAsia="黑体"/>
          <w:noProof/>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205740</wp:posOffset>
                </wp:positionH>
                <wp:positionV relativeFrom="paragraph">
                  <wp:posOffset>114300</wp:posOffset>
                </wp:positionV>
                <wp:extent cx="4853940" cy="15240"/>
                <wp:effectExtent l="0" t="4445" r="3810" b="8890"/>
                <wp:wrapNone/>
                <wp:docPr id="6" name="直接箭头连接符 6"/>
                <wp:cNvGraphicFramePr/>
                <a:graphic xmlns:a="http://schemas.openxmlformats.org/drawingml/2006/main">
                  <a:graphicData uri="http://schemas.microsoft.com/office/word/2010/wordprocessingShape">
                    <wps:wsp>
                      <wps:cNvCnPr/>
                      <wps:spPr>
                        <a:xfrm>
                          <a:off x="0" y="0"/>
                          <a:ext cx="4853940" cy="1524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w14:anchorId="2E643E0E" id="直接箭头连接符 6" o:spid="_x0000_s1026" type="#_x0000_t32" style="position:absolute;left:0;text-align:left;margin-left:16.2pt;margin-top:9pt;width:382.2pt;height:1.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"/>
            </w:pict>
          </mc:Fallback>
        </mc:AlternateContent>
      </w:r>
    </w:p>
    <w:p w:rsidR="00786233" w:rsidRDefault="00CA0B92">
      <w:pPr>
        <w:pStyle w:val="10"/>
        <w:spacing w:beforeLines="50" w:before="156" w:afterLines="50" w:after="156" w:line="400" w:lineRule="atLeast"/>
        <w:ind w:left="357" w:firstLineChars="0" w:firstLine="0"/>
        <w:contextualSpacing/>
        <w:jc w:val="center"/>
        <w:rPr>
          <w:rFonts w:ascii="黑体" w:eastAsia="黑体" w:hAnsi="黑体" w:cs="宋体"/>
          <w:sz w:val="28"/>
          <w:szCs w:val="28"/>
        </w:rPr>
        <w:sectPr w:rsidR="0078623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r>
        <w:rPr>
          <w:rFonts w:ascii="华文中宋" w:eastAsia="华文中宋" w:hAnsi="华文中宋" w:cs="宋体" w:hint="eastAsia"/>
          <w:spacing w:val="71"/>
          <w:kern w:val="0"/>
          <w:sz w:val="32"/>
          <w:szCs w:val="32"/>
          <w:fitText w:val="4480" w:id="780104237"/>
        </w:rPr>
        <w:t>中国绿色食品发展中</w:t>
      </w:r>
      <w:r>
        <w:rPr>
          <w:rFonts w:ascii="华文中宋" w:eastAsia="华文中宋" w:hAnsi="华文中宋" w:cs="宋体" w:hint="eastAsia"/>
          <w:spacing w:val="1"/>
          <w:kern w:val="0"/>
          <w:sz w:val="32"/>
          <w:szCs w:val="32"/>
          <w:fitText w:val="4480" w:id="780104237"/>
        </w:rPr>
        <w:t>心</w:t>
      </w:r>
      <w:r>
        <w:rPr>
          <w:rFonts w:ascii="华文中宋" w:eastAsia="华文中宋" w:hAnsi="华文中宋" w:cs="宋体" w:hint="eastAsia"/>
          <w:kern w:val="0"/>
          <w:sz w:val="32"/>
          <w:szCs w:val="32"/>
        </w:rPr>
        <w:t xml:space="preserve">  </w:t>
      </w:r>
      <w:r>
        <w:rPr>
          <w:rFonts w:ascii="黑体" w:eastAsia="黑体" w:hAnsi="黑体" w:cs="宋体" w:hint="eastAsia"/>
          <w:sz w:val="28"/>
          <w:szCs w:val="28"/>
        </w:rPr>
        <w:t>发 布</w:t>
      </w:r>
    </w:p>
    <w:p w:rsidR="00786233" w:rsidRDefault="00786233">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p>
    <w:p w:rsidR="00786233" w:rsidRDefault="00CA0B92">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r>
        <w:rPr>
          <w:rFonts w:ascii="黑体" w:eastAsia="黑体" w:hAnsi="黑体" w:cs="宋体" w:hint="eastAsia"/>
          <w:sz w:val="32"/>
          <w:szCs w:val="32"/>
        </w:rPr>
        <w:t>前  言</w:t>
      </w:r>
    </w:p>
    <w:p w:rsidR="00786233" w:rsidRDefault="00786233">
      <w:pPr>
        <w:pStyle w:val="10"/>
        <w:spacing w:beforeLines="50" w:before="156" w:afterLines="50" w:after="156" w:line="400" w:lineRule="atLeast"/>
        <w:ind w:left="357" w:firstLineChars="0" w:firstLine="0"/>
        <w:contextualSpacing/>
        <w:jc w:val="center"/>
        <w:rPr>
          <w:rFonts w:ascii="黑体" w:eastAsia="黑体" w:hAnsi="黑体" w:cs="宋体"/>
          <w:sz w:val="32"/>
          <w:szCs w:val="32"/>
        </w:rPr>
      </w:pPr>
    </w:p>
    <w:p w:rsidR="00786233" w:rsidRDefault="00CA0B92">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w:t>
      </w:r>
      <w:r w:rsidR="009E7223">
        <w:rPr>
          <w:rFonts w:ascii="宋体" w:hAnsi="宋体" w:cs="宋体" w:hint="eastAsia"/>
        </w:rPr>
        <w:t>设计</w:t>
      </w:r>
      <w:r w:rsidR="009E7223">
        <w:rPr>
          <w:rFonts w:ascii="宋体" w:hAnsi="宋体" w:cs="宋体"/>
        </w:rPr>
        <w:t>、</w:t>
      </w:r>
      <w:r w:rsidR="009E7223">
        <w:rPr>
          <w:rFonts w:ascii="宋体" w:hAnsi="宋体" w:cs="宋体" w:hint="eastAsia"/>
        </w:rPr>
        <w:t>审核</w:t>
      </w:r>
      <w:r>
        <w:rPr>
          <w:rFonts w:ascii="宋体" w:hAnsi="宋体" w:cs="宋体" w:hint="eastAsia"/>
        </w:rPr>
        <w:t>并归口。</w:t>
      </w:r>
    </w:p>
    <w:p w:rsidR="00786233" w:rsidRDefault="00CA0B92">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 河北省农产品质量安全中心、</w:t>
      </w:r>
      <w:r w:rsidR="009E7223">
        <w:rPr>
          <w:rFonts w:ascii="宋体" w:hAnsi="宋体" w:cs="宋体" w:hint="eastAsia"/>
        </w:rPr>
        <w:t>中国</w:t>
      </w:r>
      <w:r w:rsidR="009E7223">
        <w:rPr>
          <w:rFonts w:ascii="宋体" w:hAnsi="宋体" w:cs="宋体"/>
        </w:rPr>
        <w:t>绿色食品发展中心、</w:t>
      </w:r>
      <w:r>
        <w:rPr>
          <w:rFonts w:ascii="宋体" w:hAnsi="宋体" w:cs="宋体" w:hint="eastAsia"/>
        </w:rPr>
        <w:t>河北省农林科学院石家庄果树研究所、北京市农产品质量安全中心、山西省农产品质量安全中心、内蒙古自治区农畜产品质量安全中心</w:t>
      </w:r>
      <w:r>
        <w:rPr>
          <w:rFonts w:ascii="宋体" w:hAnsi="宋体" w:cs="宋体" w:hint="eastAsia"/>
          <w:color w:val="0000FF"/>
        </w:rPr>
        <w:t>、</w:t>
      </w:r>
      <w:r>
        <w:rPr>
          <w:rFonts w:ascii="宋体" w:hAnsi="宋体" w:cs="宋体" w:hint="eastAsia"/>
        </w:rPr>
        <w:t>山东省绿色食品发展中心、河南省农产品质量安全和绿色食品发展中心、重庆市农产品质量安全中心、陕西省农产品质量安全中心、甘肃省农产品质量安全检验检测中心、</w:t>
      </w:r>
      <w:r>
        <w:rPr>
          <w:rFonts w:hAnsi="宋体" w:cs="宋体" w:hint="eastAsia"/>
        </w:rPr>
        <w:t>新疆维吾尔自治区农产品质量安全中心、唐山市食品药品综合检验检测中心、石家庄市农产品质量检测中心、承德市农林科学院、保定市种子工作站、邢台市农业农村局</w:t>
      </w:r>
      <w:r>
        <w:rPr>
          <w:rFonts w:ascii="宋体" w:hAnsi="宋体" w:cs="宋体" w:hint="eastAsia"/>
        </w:rPr>
        <w:t>、安徽省肥东县农业农村局、灵寿县现代农业产业服务中心、承德市双滦区农业农村局</w:t>
      </w:r>
      <w:r w:rsidRPr="0004250C">
        <w:rPr>
          <w:rFonts w:ascii="宋体" w:hAnsi="宋体" w:cs="宋体" w:hint="eastAsia"/>
          <w:color w:val="000000" w:themeColor="text1"/>
        </w:rPr>
        <w:t>、</w:t>
      </w:r>
      <w:r w:rsidR="007D37E7" w:rsidRPr="0004250C">
        <w:rPr>
          <w:rFonts w:ascii="宋体" w:hAnsi="宋体" w:cs="宋体" w:hint="eastAsia"/>
          <w:color w:val="000000" w:themeColor="text1"/>
        </w:rPr>
        <w:t>兴隆县农业农村局、</w:t>
      </w:r>
      <w:r>
        <w:rPr>
          <w:rFonts w:ascii="宋体" w:hAnsi="宋体" w:cs="宋体" w:hint="eastAsia"/>
        </w:rPr>
        <w:t>保定市满城区农业农村局、巨鹿县农业农村局。</w:t>
      </w:r>
    </w:p>
    <w:p w:rsidR="00786233" w:rsidRDefault="00CA0B92">
      <w:pPr>
        <w:pStyle w:val="10"/>
        <w:spacing w:beforeLines="50" w:before="156" w:afterLines="50" w:after="156" w:line="400" w:lineRule="atLeast"/>
        <w:contextualSpacing/>
        <w:jc w:val="left"/>
        <w:rPr>
          <w:rFonts w:ascii="黑体" w:eastAsia="黑体" w:hAnsi="黑体" w:cs="宋体"/>
          <w:sz w:val="32"/>
          <w:szCs w:val="32"/>
        </w:rPr>
        <w:sectPr w:rsidR="00786233">
          <w:footerReference w:type="default" r:id="rId14"/>
          <w:pgSz w:w="11906" w:h="16838"/>
          <w:pgMar w:top="1440" w:right="1800" w:bottom="1440" w:left="1800" w:header="851" w:footer="992" w:gutter="0"/>
          <w:pgNumType w:start="1"/>
          <w:cols w:space="425"/>
          <w:docGrid w:type="lines" w:linePitch="312"/>
        </w:sectPr>
      </w:pPr>
      <w:r>
        <w:rPr>
          <w:rFonts w:ascii="宋体" w:hAnsi="宋体" w:cs="宋体" w:hint="eastAsia"/>
        </w:rPr>
        <w:t>本文件主要起草人：董博钊、武晓红、</w:t>
      </w:r>
      <w:r w:rsidR="000530C3">
        <w:rPr>
          <w:rFonts w:ascii="宋体" w:hAnsi="宋体" w:cs="宋体" w:hint="eastAsia"/>
        </w:rPr>
        <w:t>张宪</w:t>
      </w:r>
      <w:r w:rsidR="000530C3">
        <w:rPr>
          <w:rFonts w:ascii="宋体" w:hAnsi="宋体" w:cs="宋体"/>
        </w:rPr>
        <w:t>、</w:t>
      </w:r>
      <w:r>
        <w:rPr>
          <w:rFonts w:ascii="宋体" w:hAnsi="宋体" w:cs="宋体" w:hint="eastAsia"/>
        </w:rPr>
        <w:t>徐国良、王端、</w:t>
      </w:r>
      <w:r w:rsidR="000530C3">
        <w:rPr>
          <w:rFonts w:ascii="宋体" w:hAnsi="宋体" w:cs="宋体" w:hint="eastAsia"/>
        </w:rPr>
        <w:t>马雪</w:t>
      </w:r>
      <w:r w:rsidR="000530C3">
        <w:rPr>
          <w:rFonts w:ascii="宋体" w:hAnsi="宋体" w:cs="宋体"/>
        </w:rPr>
        <w:t>、</w:t>
      </w:r>
      <w:r>
        <w:rPr>
          <w:rFonts w:ascii="宋体" w:hAnsi="宋体" w:cs="宋体" w:hint="eastAsia"/>
        </w:rPr>
        <w:t>王振雨、陈柏华、郝志勇、李刚、许欣、于璐、张海彬、王璋、王刚、柴振宁、玛依拉•赛吾尔丁、乔晗、丁永冲、李建兴、李紫姝、段西飞、许群芳、李艳玲、董淑君、邵占青、刘姗姗。</w:t>
      </w:r>
    </w:p>
    <w:p w:rsidR="00786233" w:rsidRDefault="00CA0B92" w:rsidP="009E7223">
      <w:pPr>
        <w:pStyle w:val="10"/>
        <w:adjustRightInd w:val="0"/>
        <w:snapToGrid w:val="0"/>
        <w:spacing w:beforeLines="100" w:before="312" w:afterLines="100" w:after="312" w:line="360" w:lineRule="auto"/>
        <w:ind w:firstLineChars="0" w:firstLine="0"/>
        <w:jc w:val="center"/>
        <w:rPr>
          <w:rFonts w:asciiTheme="minorEastAsia" w:eastAsiaTheme="minorEastAsia" w:hAnsiTheme="minorEastAsia" w:cs="宋体"/>
          <w:sz w:val="28"/>
          <w:szCs w:val="28"/>
        </w:rPr>
      </w:pPr>
      <w:r>
        <w:rPr>
          <w:rFonts w:ascii="黑体" w:eastAsia="黑体" w:hAnsi="黑体" w:hint="eastAsia"/>
          <w:sz w:val="32"/>
          <w:szCs w:val="32"/>
        </w:rPr>
        <w:lastRenderedPageBreak/>
        <w:t>绿色食品</w:t>
      </w:r>
      <w:r>
        <w:rPr>
          <w:rFonts w:ascii="黑体" w:eastAsia="黑体" w:hAnsi="黑体" w:cs="宋体" w:hint="eastAsia"/>
          <w:sz w:val="32"/>
          <w:szCs w:val="32"/>
        </w:rPr>
        <w:t>杏</w:t>
      </w:r>
      <w:r>
        <w:rPr>
          <w:rFonts w:ascii="黑体" w:eastAsia="黑体" w:hAnsi="黑体" w:hint="eastAsia"/>
          <w:sz w:val="32"/>
          <w:szCs w:val="32"/>
        </w:rPr>
        <w:t>生产操作规程</w:t>
      </w:r>
    </w:p>
    <w:p w:rsidR="00786233" w:rsidRPr="009E7223" w:rsidRDefault="009E7223" w:rsidP="009E7223">
      <w:pPr>
        <w:pStyle w:val="1"/>
        <w:rPr>
          <w:rFonts w:hint="default"/>
        </w:rPr>
      </w:pPr>
      <w:r>
        <w:t xml:space="preserve">1 </w:t>
      </w:r>
      <w:r w:rsidR="00CA0B92">
        <w:t>范围</w:t>
      </w:r>
    </w:p>
    <w:p w:rsidR="00786233" w:rsidRDefault="00CA0B92" w:rsidP="009E7223">
      <w:pPr>
        <w:pStyle w:val="10"/>
        <w:adjustRightInd w:val="0"/>
        <w:snapToGrid w:val="0"/>
        <w:spacing w:line="360" w:lineRule="auto"/>
        <w:rPr>
          <w:rFonts w:ascii="宋体" w:hAnsi="宋体"/>
          <w:kern w:val="0"/>
          <w:szCs w:val="20"/>
        </w:rPr>
      </w:pPr>
      <w:r>
        <w:rPr>
          <w:rFonts w:ascii="宋体" w:hAnsi="宋体" w:hint="eastAsia"/>
          <w:kern w:val="0"/>
          <w:szCs w:val="20"/>
        </w:rPr>
        <w:t>本</w:t>
      </w:r>
      <w:r w:rsidR="00D2051F">
        <w:rPr>
          <w:rFonts w:ascii="宋体" w:hAnsi="宋体" w:hint="eastAsia"/>
          <w:kern w:val="0"/>
          <w:szCs w:val="20"/>
        </w:rPr>
        <w:t>文件</w:t>
      </w:r>
      <w:r>
        <w:rPr>
          <w:rFonts w:ascii="宋体" w:hAnsi="宋体" w:hint="eastAsia"/>
          <w:kern w:val="0"/>
          <w:szCs w:val="20"/>
        </w:rPr>
        <w:t>规定了绿色食品杏的产地环境、建园规划、品种与苗木、栽植、土肥水管理、整形修剪、花果管理、病虫害防治、采收、包装、储藏和运输、生产废弃物处理及生产档案管理等。</w:t>
      </w:r>
    </w:p>
    <w:p w:rsidR="00786233" w:rsidRDefault="00CA0B92" w:rsidP="009E7223">
      <w:pPr>
        <w:pStyle w:val="10"/>
        <w:adjustRightInd w:val="0"/>
        <w:snapToGrid w:val="0"/>
        <w:spacing w:line="360" w:lineRule="auto"/>
        <w:rPr>
          <w:rFonts w:ascii="宋体" w:hAnsi="宋体"/>
          <w:kern w:val="0"/>
          <w:szCs w:val="20"/>
        </w:rPr>
      </w:pPr>
      <w:r>
        <w:rPr>
          <w:rFonts w:ascii="宋体" w:hAnsi="宋体" w:hint="eastAsia"/>
          <w:kern w:val="0"/>
          <w:szCs w:val="20"/>
        </w:rPr>
        <w:t>本</w:t>
      </w:r>
      <w:r w:rsidR="00D2051F">
        <w:rPr>
          <w:rFonts w:ascii="宋体" w:hAnsi="宋体" w:hint="eastAsia"/>
          <w:kern w:val="0"/>
          <w:szCs w:val="20"/>
        </w:rPr>
        <w:t>文件</w:t>
      </w:r>
      <w:r>
        <w:rPr>
          <w:rFonts w:ascii="宋体" w:hAnsi="宋体" w:hint="eastAsia"/>
          <w:kern w:val="0"/>
          <w:szCs w:val="20"/>
        </w:rPr>
        <w:t>适用于绿色食品杏的生产。</w:t>
      </w:r>
    </w:p>
    <w:p w:rsidR="00786233" w:rsidRDefault="009E7223" w:rsidP="009E7223">
      <w:pPr>
        <w:pStyle w:val="1"/>
        <w:rPr>
          <w:rFonts w:hint="default"/>
        </w:rPr>
      </w:pPr>
      <w:r>
        <w:t xml:space="preserve">2 </w:t>
      </w:r>
      <w:r w:rsidR="00CA0B92">
        <w:t>规范性引用文件</w:t>
      </w:r>
    </w:p>
    <w:p w:rsidR="00786233" w:rsidRDefault="00CA0B92" w:rsidP="009E7223">
      <w:pPr>
        <w:pStyle w:val="10"/>
        <w:adjustRightInd w:val="0"/>
        <w:snapToGrid w:val="0"/>
        <w:spacing w:line="360" w:lineRule="auto"/>
        <w:rPr>
          <w:rFonts w:ascii="宋体" w:hAnsi="宋体" w:cs="宋体"/>
        </w:rPr>
      </w:pPr>
      <w:r>
        <w:rPr>
          <w:rFonts w:ascii="宋体" w:hAnsi="宋体" w:cs="宋体" w:hint="eastAsia"/>
        </w:rPr>
        <w:t>下列文件中的内容通过文中的规范性引用而构成本规程必不可少的条款。其中,注日期的引用文件，仅该日期对应的版本适用于本规程；不注日期的引用文件，其最新版本(包括所有的修改单)适用于本规程。</w:t>
      </w:r>
    </w:p>
    <w:p w:rsidR="00786233" w:rsidRDefault="00CA0B92" w:rsidP="009E7223">
      <w:pPr>
        <w:pStyle w:val="10"/>
        <w:adjustRightInd w:val="0"/>
        <w:snapToGrid w:val="0"/>
        <w:spacing w:line="360" w:lineRule="auto"/>
        <w:rPr>
          <w:rFonts w:ascii="宋体" w:hAnsi="宋体" w:cs="宋体"/>
        </w:rPr>
      </w:pPr>
      <w:r>
        <w:rPr>
          <w:rFonts w:ascii="宋体" w:hAnsi="宋体" w:cs="宋体"/>
        </w:rPr>
        <w:t xml:space="preserve">NY/T 391  </w:t>
      </w:r>
      <w:r>
        <w:rPr>
          <w:rFonts w:ascii="宋体" w:hAnsi="宋体" w:cs="宋体" w:hint="eastAsia"/>
        </w:rPr>
        <w:t>绿色食品</w:t>
      </w:r>
      <w:r>
        <w:rPr>
          <w:rFonts w:ascii="宋体" w:hAnsi="宋体" w:cs="宋体"/>
        </w:rPr>
        <w:t xml:space="preserve"> </w:t>
      </w:r>
      <w:r>
        <w:rPr>
          <w:rFonts w:ascii="宋体" w:hAnsi="宋体" w:cs="宋体" w:hint="eastAsia"/>
        </w:rPr>
        <w:t>产地环境质量</w:t>
      </w:r>
    </w:p>
    <w:p w:rsidR="00786233" w:rsidRDefault="00CA0B92" w:rsidP="009E7223">
      <w:pPr>
        <w:pStyle w:val="10"/>
        <w:adjustRightInd w:val="0"/>
        <w:snapToGrid w:val="0"/>
        <w:spacing w:line="360" w:lineRule="auto"/>
        <w:rPr>
          <w:rFonts w:ascii="宋体" w:hAnsi="宋体" w:cs="宋体"/>
        </w:rPr>
      </w:pPr>
      <w:r>
        <w:rPr>
          <w:rFonts w:ascii="宋体" w:hAnsi="宋体" w:cs="宋体"/>
        </w:rPr>
        <w:t xml:space="preserve">NY/T 393  </w:t>
      </w:r>
      <w:r>
        <w:rPr>
          <w:rFonts w:ascii="宋体" w:hAnsi="宋体" w:cs="宋体" w:hint="eastAsia"/>
        </w:rPr>
        <w:t>绿色食品</w:t>
      </w:r>
      <w:r>
        <w:rPr>
          <w:rFonts w:ascii="宋体" w:hAnsi="宋体" w:cs="宋体"/>
        </w:rPr>
        <w:t xml:space="preserve"> </w:t>
      </w:r>
      <w:r>
        <w:rPr>
          <w:rFonts w:ascii="宋体" w:hAnsi="宋体" w:cs="宋体" w:hint="eastAsia"/>
        </w:rPr>
        <w:t>农药使用准则</w:t>
      </w:r>
    </w:p>
    <w:p w:rsidR="00786233" w:rsidRDefault="00CA0B92" w:rsidP="009E7223">
      <w:pPr>
        <w:pStyle w:val="10"/>
        <w:adjustRightInd w:val="0"/>
        <w:snapToGrid w:val="0"/>
        <w:spacing w:line="360" w:lineRule="auto"/>
        <w:rPr>
          <w:rFonts w:ascii="宋体" w:hAnsi="宋体" w:cs="宋体"/>
        </w:rPr>
      </w:pPr>
      <w:r>
        <w:rPr>
          <w:rFonts w:ascii="宋体" w:hAnsi="宋体" w:cs="宋体"/>
        </w:rPr>
        <w:t xml:space="preserve">NY/T 394  </w:t>
      </w:r>
      <w:r>
        <w:rPr>
          <w:rFonts w:ascii="宋体" w:hAnsi="宋体" w:cs="宋体" w:hint="eastAsia"/>
        </w:rPr>
        <w:t>绿色食品</w:t>
      </w:r>
      <w:r>
        <w:rPr>
          <w:rFonts w:ascii="宋体" w:hAnsi="宋体" w:cs="宋体"/>
        </w:rPr>
        <w:t xml:space="preserve"> </w:t>
      </w:r>
      <w:r>
        <w:rPr>
          <w:rFonts w:ascii="宋体" w:hAnsi="宋体" w:cs="宋体" w:hint="eastAsia"/>
        </w:rPr>
        <w:t>肥料使用准则</w:t>
      </w:r>
    </w:p>
    <w:p w:rsidR="00786233" w:rsidRDefault="00CA0B92" w:rsidP="009E7223">
      <w:pPr>
        <w:pStyle w:val="aa"/>
        <w:tabs>
          <w:tab w:val="center" w:pos="4201"/>
          <w:tab w:val="right" w:leader="dot" w:pos="9298"/>
        </w:tabs>
        <w:adjustRightInd w:val="0"/>
        <w:snapToGrid w:val="0"/>
        <w:spacing w:line="360" w:lineRule="auto"/>
        <w:ind w:firstLine="420"/>
        <w:rPr>
          <w:rFonts w:hAnsi="宋体" w:cs="宋体"/>
          <w:kern w:val="2"/>
          <w:szCs w:val="21"/>
        </w:rPr>
      </w:pPr>
      <w:r>
        <w:rPr>
          <w:rFonts w:hAnsi="宋体" w:cs="宋体" w:hint="eastAsia"/>
          <w:kern w:val="2"/>
          <w:szCs w:val="21"/>
        </w:rPr>
        <w:t>NY/T 658  绿色食品 包装通用准则</w:t>
      </w:r>
    </w:p>
    <w:p w:rsidR="00786233" w:rsidRDefault="00CA0B92" w:rsidP="009E7223">
      <w:pPr>
        <w:pStyle w:val="aa"/>
        <w:tabs>
          <w:tab w:val="center" w:pos="4201"/>
          <w:tab w:val="right" w:leader="dot" w:pos="9298"/>
        </w:tabs>
        <w:adjustRightInd w:val="0"/>
        <w:snapToGrid w:val="0"/>
        <w:spacing w:line="360" w:lineRule="auto"/>
        <w:ind w:firstLine="420"/>
        <w:rPr>
          <w:rFonts w:hAnsi="宋体" w:cs="宋体"/>
          <w:kern w:val="2"/>
          <w:szCs w:val="21"/>
        </w:rPr>
      </w:pPr>
      <w:r>
        <w:rPr>
          <w:rFonts w:hAnsi="宋体" w:cs="宋体" w:hint="eastAsia"/>
          <w:kern w:val="2"/>
          <w:szCs w:val="21"/>
        </w:rPr>
        <w:t>NY/T 696  鲜杏</w:t>
      </w:r>
    </w:p>
    <w:p w:rsidR="00786233" w:rsidRDefault="00CA0B92" w:rsidP="009E7223">
      <w:pPr>
        <w:pStyle w:val="aa"/>
        <w:tabs>
          <w:tab w:val="center" w:pos="4201"/>
          <w:tab w:val="right" w:leader="dot" w:pos="9298"/>
        </w:tabs>
        <w:adjustRightInd w:val="0"/>
        <w:snapToGrid w:val="0"/>
        <w:spacing w:line="360" w:lineRule="auto"/>
        <w:ind w:firstLine="420"/>
        <w:rPr>
          <w:rFonts w:hAnsi="宋体" w:cs="宋体"/>
          <w:kern w:val="2"/>
          <w:szCs w:val="21"/>
        </w:rPr>
      </w:pPr>
      <w:r>
        <w:rPr>
          <w:rFonts w:hAnsi="宋体" w:cs="宋体" w:hint="eastAsia"/>
          <w:kern w:val="2"/>
          <w:szCs w:val="21"/>
        </w:rPr>
        <w:t>NY/T 844  绿色食品 温带水果</w:t>
      </w:r>
    </w:p>
    <w:p w:rsidR="00786233" w:rsidRDefault="00CA0B92" w:rsidP="009E7223">
      <w:pPr>
        <w:pStyle w:val="aa"/>
        <w:tabs>
          <w:tab w:val="center" w:pos="4201"/>
          <w:tab w:val="right" w:leader="dot" w:pos="9298"/>
        </w:tabs>
        <w:adjustRightInd w:val="0"/>
        <w:snapToGrid w:val="0"/>
        <w:spacing w:line="360" w:lineRule="auto"/>
        <w:ind w:firstLine="420"/>
        <w:rPr>
          <w:rFonts w:hAnsi="宋体" w:cs="宋体"/>
          <w:kern w:val="2"/>
          <w:szCs w:val="21"/>
        </w:rPr>
      </w:pPr>
      <w:r>
        <w:rPr>
          <w:rFonts w:hAnsi="宋体" w:cs="宋体" w:hint="eastAsia"/>
          <w:kern w:val="2"/>
          <w:szCs w:val="21"/>
        </w:rPr>
        <w:t>NY/T 1056  绿色食品 储藏运输准则</w:t>
      </w:r>
    </w:p>
    <w:p w:rsidR="00786233" w:rsidRDefault="009E7223" w:rsidP="009E7223">
      <w:pPr>
        <w:pStyle w:val="1"/>
        <w:rPr>
          <w:rFonts w:hint="default"/>
        </w:rPr>
      </w:pPr>
      <w:r>
        <w:t xml:space="preserve">3 </w:t>
      </w:r>
      <w:r w:rsidR="00CA0B92">
        <w:t>产地环境</w:t>
      </w:r>
    </w:p>
    <w:p w:rsidR="00786233" w:rsidRPr="009E7223" w:rsidRDefault="009E7223" w:rsidP="009E7223">
      <w:pPr>
        <w:pStyle w:val="2"/>
        <w:rPr>
          <w:rFonts w:hint="default"/>
        </w:rPr>
      </w:pPr>
      <w:r>
        <w:t xml:space="preserve">3.1 </w:t>
      </w:r>
      <w:r w:rsidR="00CA0B92">
        <w:t>基本原则</w:t>
      </w:r>
    </w:p>
    <w:p w:rsidR="00786233" w:rsidRDefault="00CA0B92" w:rsidP="009E7223">
      <w:pPr>
        <w:pStyle w:val="10"/>
        <w:adjustRightInd w:val="0"/>
        <w:snapToGrid w:val="0"/>
        <w:spacing w:line="360" w:lineRule="auto"/>
        <w:rPr>
          <w:rFonts w:asciiTheme="minorEastAsia" w:eastAsiaTheme="minorEastAsia" w:hAnsiTheme="minorEastAsia"/>
          <w:color w:val="000000"/>
          <w:szCs w:val="20"/>
        </w:rPr>
      </w:pPr>
      <w:r>
        <w:rPr>
          <w:rFonts w:asciiTheme="minorEastAsia" w:eastAsiaTheme="minorEastAsia" w:hAnsiTheme="minorEastAsia" w:hint="eastAsia"/>
          <w:color w:val="000000"/>
          <w:szCs w:val="20"/>
        </w:rPr>
        <w:t>园区选择交通方便、生态环境良好，不受污染源影响或污染后污染物限量控制在允许范围内，并具有可持续生产能力的区域。产地环境质量符合NY/T 391的规定。</w:t>
      </w:r>
    </w:p>
    <w:p w:rsidR="00786233" w:rsidRPr="009E7223" w:rsidRDefault="009E7223" w:rsidP="009E7223">
      <w:pPr>
        <w:pStyle w:val="2"/>
        <w:rPr>
          <w:rFonts w:hint="default"/>
        </w:rPr>
      </w:pPr>
      <w:r>
        <w:t xml:space="preserve">3.2 </w:t>
      </w:r>
      <w:r w:rsidR="00CA0B92">
        <w:t>建园条件</w:t>
      </w:r>
    </w:p>
    <w:p w:rsidR="00786233" w:rsidRDefault="00CA0B92" w:rsidP="009E7223">
      <w:pPr>
        <w:pStyle w:val="10"/>
        <w:adjustRightInd w:val="0"/>
        <w:snapToGrid w:val="0"/>
        <w:spacing w:line="360" w:lineRule="auto"/>
        <w:rPr>
          <w:rFonts w:asciiTheme="minorEastAsia" w:eastAsiaTheme="minorEastAsia" w:hAnsiTheme="minorEastAsia"/>
          <w:color w:val="FF0000"/>
        </w:rPr>
      </w:pPr>
      <w:r>
        <w:rPr>
          <w:rFonts w:asciiTheme="minorEastAsia" w:eastAsiaTheme="minorEastAsia" w:hAnsiTheme="minorEastAsia" w:hint="eastAsia"/>
          <w:color w:val="000000"/>
          <w:szCs w:val="20"/>
        </w:rPr>
        <w:t>建园地选择有灌溉条件、地下水位1m以下、土壤pH值6.5～8.0、总含盐量≤0.2%、有机质含量≥0.6%的壤土或砂质壤土；年平均气温在8℃～16℃，生长季≥10℃的有效积温达2700℃，根系地温5℃～22℃持续150d～200d，花期温度为11℃～13℃；全年无霜期在150d以上；年降水量400mm以上；年日照时数≥2400h；平原地排水良好，山地土层深厚、背风向阳。忌在谷底、盆地或山坡底部、低洼涝湿地、核果类基地建园。</w:t>
      </w:r>
    </w:p>
    <w:p w:rsidR="00786233" w:rsidRDefault="00CA0B92" w:rsidP="009E7223">
      <w:pPr>
        <w:pStyle w:val="1"/>
        <w:rPr>
          <w:rFonts w:hint="default"/>
        </w:rPr>
      </w:pPr>
      <w:r>
        <w:t>4  建园规划</w:t>
      </w:r>
    </w:p>
    <w:p w:rsidR="00786233" w:rsidRDefault="00CA0B92" w:rsidP="009E7223">
      <w:pPr>
        <w:pStyle w:val="2"/>
        <w:rPr>
          <w:rFonts w:hint="default"/>
        </w:rPr>
      </w:pPr>
      <w:r>
        <w:t>4.1  小区划分</w:t>
      </w:r>
    </w:p>
    <w:p w:rsidR="00786233" w:rsidRDefault="00CA0B92" w:rsidP="009E7223">
      <w:pPr>
        <w:pStyle w:val="10"/>
        <w:adjustRightInd w:val="0"/>
        <w:snapToGrid w:val="0"/>
        <w:spacing w:line="360" w:lineRule="auto"/>
        <w:ind w:firstLineChars="0" w:firstLine="0"/>
        <w:rPr>
          <w:rFonts w:asciiTheme="minorEastAsia" w:eastAsiaTheme="minorEastAsia" w:hAnsiTheme="minorEastAsia"/>
          <w:color w:val="000000"/>
          <w:szCs w:val="20"/>
        </w:rPr>
      </w:pPr>
      <w:r w:rsidRPr="009E7223">
        <w:rPr>
          <w:rFonts w:ascii="黑体" w:eastAsia="黑体" w:hAnsi="黑体" w:hint="eastAsia"/>
          <w:color w:val="000000"/>
          <w:szCs w:val="20"/>
        </w:rPr>
        <w:t xml:space="preserve">4.1.1 </w:t>
      </w:r>
      <w:r>
        <w:rPr>
          <w:rFonts w:asciiTheme="minorEastAsia" w:eastAsiaTheme="minorEastAsia" w:hAnsiTheme="minorEastAsia" w:hint="eastAsia"/>
          <w:color w:val="000000"/>
          <w:szCs w:val="20"/>
        </w:rPr>
        <w:t>若园区面积较大，或地形、土壤条件有差异，可划分为若干小区，一般平原地可以5亩</w:t>
      </w:r>
      <w:r>
        <w:rPr>
          <w:rFonts w:asciiTheme="minorEastAsia" w:eastAsiaTheme="minorEastAsia" w:hAnsiTheme="minorEastAsia"/>
          <w:color w:val="000000"/>
          <w:szCs w:val="20"/>
        </w:rPr>
        <w:t>～</w:t>
      </w:r>
      <w:r>
        <w:rPr>
          <w:rFonts w:asciiTheme="minorEastAsia" w:eastAsiaTheme="minorEastAsia" w:hAnsiTheme="minorEastAsia" w:hint="eastAsia"/>
          <w:color w:val="000000"/>
          <w:szCs w:val="20"/>
        </w:rPr>
        <w:t>10亩为一小区，丘陵山地根据具体情况划分。</w:t>
      </w:r>
    </w:p>
    <w:p w:rsidR="00786233" w:rsidRDefault="00CA0B92" w:rsidP="009E7223">
      <w:pPr>
        <w:pStyle w:val="10"/>
        <w:adjustRightInd w:val="0"/>
        <w:snapToGrid w:val="0"/>
        <w:spacing w:line="360" w:lineRule="auto"/>
        <w:ind w:firstLineChars="0" w:firstLine="0"/>
        <w:rPr>
          <w:rFonts w:asciiTheme="minorEastAsia" w:eastAsiaTheme="minorEastAsia" w:hAnsiTheme="minorEastAsia"/>
          <w:color w:val="000000"/>
          <w:szCs w:val="20"/>
        </w:rPr>
      </w:pPr>
      <w:r w:rsidRPr="009E7223">
        <w:rPr>
          <w:rFonts w:ascii="黑体" w:eastAsia="黑体" w:hAnsi="黑体" w:hint="eastAsia"/>
          <w:color w:val="000000"/>
          <w:szCs w:val="20"/>
        </w:rPr>
        <w:t xml:space="preserve">4.1.2 </w:t>
      </w:r>
      <w:r>
        <w:rPr>
          <w:rFonts w:asciiTheme="minorEastAsia" w:eastAsiaTheme="minorEastAsia" w:hAnsiTheme="minorEastAsia" w:hint="eastAsia"/>
          <w:color w:val="000000"/>
          <w:szCs w:val="20"/>
        </w:rPr>
        <w:t>小区的形状。平地可采用2∶1</w:t>
      </w:r>
      <w:r>
        <w:rPr>
          <w:rFonts w:asciiTheme="minorEastAsia" w:eastAsiaTheme="minorEastAsia" w:hAnsiTheme="minorEastAsia"/>
          <w:color w:val="000000"/>
          <w:szCs w:val="20"/>
        </w:rPr>
        <w:t>～</w:t>
      </w:r>
      <w:r>
        <w:rPr>
          <w:rFonts w:asciiTheme="minorEastAsia" w:eastAsiaTheme="minorEastAsia" w:hAnsiTheme="minorEastAsia" w:hint="eastAsia"/>
          <w:color w:val="000000"/>
          <w:szCs w:val="20"/>
        </w:rPr>
        <w:t>4∶l的长方形，山地、丘陵地及缓坡地可因地形划</w:t>
      </w:r>
      <w:r>
        <w:rPr>
          <w:rFonts w:asciiTheme="minorEastAsia" w:eastAsiaTheme="minorEastAsia" w:hAnsiTheme="minorEastAsia" w:hint="eastAsia"/>
          <w:color w:val="000000"/>
          <w:szCs w:val="20"/>
        </w:rPr>
        <w:lastRenderedPageBreak/>
        <w:t>分成不同形状。小区的长边要与等高线平行，以利水土保持。</w:t>
      </w:r>
    </w:p>
    <w:p w:rsidR="00786233" w:rsidRDefault="009E7223" w:rsidP="009E7223">
      <w:pPr>
        <w:pStyle w:val="2"/>
        <w:rPr>
          <w:rFonts w:hint="default"/>
        </w:rPr>
      </w:pPr>
      <w:r>
        <w:t xml:space="preserve">4.2 </w:t>
      </w:r>
      <w:r w:rsidR="00CA0B92">
        <w:t>道路与附属建筑物</w:t>
      </w:r>
    </w:p>
    <w:p w:rsidR="00786233" w:rsidRDefault="00CA0B92" w:rsidP="009E7223">
      <w:pPr>
        <w:adjustRightInd w:val="0"/>
        <w:snapToGrid w:val="0"/>
        <w:spacing w:line="360" w:lineRule="auto"/>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果园的道路分主路宽</w:t>
      </w:r>
      <w:r>
        <w:rPr>
          <w:rFonts w:ascii="Times New Roman" w:eastAsia="宋体" w:hAnsi="Times New Roman" w:cs="Times New Roman" w:hint="eastAsia"/>
          <w:color w:val="000000"/>
          <w:szCs w:val="20"/>
        </w:rPr>
        <w:t>6</w:t>
      </w:r>
      <w:r>
        <w:rPr>
          <w:rFonts w:ascii="Times New Roman" w:eastAsia="宋体" w:hAnsi="Times New Roman" w:hint="eastAsia"/>
          <w:color w:val="000000"/>
          <w:szCs w:val="20"/>
        </w:rPr>
        <w:t>m</w:t>
      </w:r>
      <w:r>
        <w:rPr>
          <w:rFonts w:ascii="Times New Roman" w:eastAsia="宋体" w:hAnsi="Times New Roman" w:cs="Times New Roman"/>
          <w:color w:val="000000"/>
          <w:szCs w:val="20"/>
        </w:rPr>
        <w:t>～</w:t>
      </w:r>
      <w:r>
        <w:rPr>
          <w:rFonts w:ascii="Times New Roman" w:eastAsia="宋体" w:hAnsi="Times New Roman" w:cs="Times New Roman" w:hint="eastAsia"/>
          <w:color w:val="000000"/>
          <w:szCs w:val="20"/>
        </w:rPr>
        <w:t>8</w:t>
      </w:r>
      <w:r>
        <w:rPr>
          <w:rFonts w:ascii="Times New Roman" w:eastAsia="宋体" w:hAnsi="Times New Roman" w:hint="eastAsia"/>
          <w:color w:val="000000"/>
          <w:szCs w:val="20"/>
        </w:rPr>
        <w:t>m</w:t>
      </w:r>
      <w:r>
        <w:rPr>
          <w:rFonts w:ascii="Times New Roman" w:eastAsia="宋体" w:hAnsi="Times New Roman" w:cs="Times New Roman" w:hint="eastAsia"/>
          <w:color w:val="000000"/>
          <w:szCs w:val="20"/>
        </w:rPr>
        <w:t>、支路宽</w:t>
      </w:r>
      <w:r>
        <w:rPr>
          <w:rFonts w:ascii="Times New Roman" w:eastAsia="宋体" w:hAnsi="Times New Roman" w:cs="Times New Roman" w:hint="eastAsia"/>
          <w:color w:val="000000"/>
          <w:szCs w:val="20"/>
        </w:rPr>
        <w:t>4</w:t>
      </w:r>
      <w:r>
        <w:rPr>
          <w:rFonts w:ascii="Times New Roman" w:eastAsia="宋体" w:hAnsi="Times New Roman" w:hint="eastAsia"/>
          <w:color w:val="000000"/>
          <w:szCs w:val="20"/>
        </w:rPr>
        <w:t>m</w:t>
      </w:r>
      <w:r>
        <w:rPr>
          <w:rFonts w:ascii="Times New Roman" w:eastAsia="宋体" w:hAnsi="Times New Roman" w:cs="Times New Roman"/>
          <w:color w:val="000000"/>
          <w:szCs w:val="20"/>
        </w:rPr>
        <w:t>～</w:t>
      </w:r>
      <w:r>
        <w:rPr>
          <w:rFonts w:ascii="Times New Roman" w:eastAsia="宋体" w:hAnsi="Times New Roman" w:cs="Times New Roman" w:hint="eastAsia"/>
          <w:color w:val="000000"/>
          <w:szCs w:val="20"/>
        </w:rPr>
        <w:t>5</w:t>
      </w:r>
      <w:r>
        <w:rPr>
          <w:rFonts w:ascii="Times New Roman" w:eastAsia="宋体" w:hAnsi="Times New Roman" w:hint="eastAsia"/>
          <w:color w:val="000000"/>
          <w:szCs w:val="20"/>
        </w:rPr>
        <w:t>m</w:t>
      </w:r>
      <w:r>
        <w:rPr>
          <w:rFonts w:ascii="Times New Roman" w:eastAsia="宋体" w:hAnsi="Times New Roman" w:cs="Times New Roman" w:hint="eastAsia"/>
          <w:color w:val="000000"/>
          <w:szCs w:val="20"/>
        </w:rPr>
        <w:t>和小路宽</w:t>
      </w:r>
      <w:r>
        <w:rPr>
          <w:rFonts w:ascii="Times New Roman" w:eastAsia="宋体" w:hAnsi="Times New Roman" w:cs="Times New Roman" w:hint="eastAsia"/>
          <w:color w:val="000000"/>
          <w:szCs w:val="20"/>
        </w:rPr>
        <w:t>2</w:t>
      </w:r>
      <w:r>
        <w:rPr>
          <w:rFonts w:ascii="Times New Roman" w:eastAsia="宋体" w:hAnsi="Times New Roman" w:hint="eastAsia"/>
          <w:color w:val="000000"/>
          <w:szCs w:val="20"/>
        </w:rPr>
        <w:t>m</w:t>
      </w:r>
      <w:r>
        <w:rPr>
          <w:rFonts w:ascii="Times New Roman" w:eastAsia="宋体" w:hAnsi="Times New Roman" w:cs="Times New Roman"/>
          <w:color w:val="000000"/>
          <w:szCs w:val="20"/>
        </w:rPr>
        <w:t>～</w:t>
      </w:r>
      <w:r>
        <w:rPr>
          <w:rFonts w:ascii="Times New Roman" w:eastAsia="宋体" w:hAnsi="Times New Roman" w:cs="Times New Roman" w:hint="eastAsia"/>
          <w:color w:val="000000"/>
          <w:szCs w:val="20"/>
        </w:rPr>
        <w:t>3</w:t>
      </w:r>
      <w:r>
        <w:rPr>
          <w:rFonts w:ascii="Times New Roman" w:eastAsia="宋体" w:hAnsi="Times New Roman" w:hint="eastAsia"/>
          <w:color w:val="000000"/>
          <w:szCs w:val="20"/>
        </w:rPr>
        <w:t>m</w:t>
      </w:r>
      <w:r>
        <w:rPr>
          <w:rFonts w:ascii="Times New Roman" w:eastAsia="宋体" w:hAnsi="Times New Roman" w:cs="Times New Roman" w:hint="eastAsia"/>
          <w:color w:val="000000"/>
          <w:szCs w:val="20"/>
        </w:rPr>
        <w:t>；小区以主路、支路为界；小路为田间管理作业道，要与栽植的行向垂直，小路相隔</w:t>
      </w:r>
      <w:r>
        <w:rPr>
          <w:rFonts w:ascii="Times New Roman" w:eastAsia="宋体" w:hAnsi="Times New Roman" w:cs="Times New Roman" w:hint="eastAsia"/>
          <w:color w:val="000000"/>
          <w:szCs w:val="20"/>
        </w:rPr>
        <w:t>50</w:t>
      </w:r>
      <w:r>
        <w:rPr>
          <w:rFonts w:ascii="Times New Roman" w:eastAsia="宋体" w:hAnsi="Times New Roman" w:hint="eastAsia"/>
          <w:color w:val="000000"/>
          <w:szCs w:val="20"/>
        </w:rPr>
        <w:t>m</w:t>
      </w:r>
      <w:r>
        <w:rPr>
          <w:rFonts w:ascii="Times New Roman" w:eastAsia="宋体" w:hAnsi="Times New Roman" w:cs="Times New Roman"/>
          <w:color w:val="000000"/>
          <w:szCs w:val="20"/>
        </w:rPr>
        <w:t>～</w:t>
      </w:r>
      <w:r>
        <w:rPr>
          <w:rFonts w:ascii="Times New Roman" w:eastAsia="宋体" w:hAnsi="Times New Roman" w:cs="Times New Roman" w:hint="eastAsia"/>
          <w:color w:val="000000"/>
          <w:szCs w:val="20"/>
        </w:rPr>
        <w:t>60</w:t>
      </w:r>
      <w:r>
        <w:rPr>
          <w:rFonts w:ascii="Times New Roman" w:eastAsia="宋体" w:hAnsi="Times New Roman" w:hint="eastAsia"/>
          <w:color w:val="000000"/>
          <w:szCs w:val="20"/>
        </w:rPr>
        <w:t>m</w:t>
      </w:r>
      <w:r>
        <w:rPr>
          <w:rFonts w:ascii="Times New Roman" w:eastAsia="宋体" w:hAnsi="Times New Roman" w:cs="Times New Roman" w:hint="eastAsia"/>
          <w:color w:val="000000"/>
          <w:szCs w:val="20"/>
        </w:rPr>
        <w:t>。</w:t>
      </w:r>
    </w:p>
    <w:p w:rsidR="00786233" w:rsidRDefault="00CA0B92" w:rsidP="009E7223">
      <w:pPr>
        <w:adjustRightInd w:val="0"/>
        <w:snapToGrid w:val="0"/>
        <w:spacing w:line="360" w:lineRule="auto"/>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附属建筑物包括办公室、投入品库房、机具房、配药池、选果包装场等，建在交通方便的地方，尽量不占用园地。</w:t>
      </w:r>
    </w:p>
    <w:p w:rsidR="00786233" w:rsidRDefault="009E7223" w:rsidP="009E7223">
      <w:pPr>
        <w:pStyle w:val="2"/>
        <w:rPr>
          <w:rFonts w:hint="default"/>
        </w:rPr>
      </w:pPr>
      <w:r>
        <w:t xml:space="preserve">4.3 </w:t>
      </w:r>
      <w:r w:rsidR="00CA0B92">
        <w:t>灌排系统</w:t>
      </w:r>
    </w:p>
    <w:p w:rsidR="00786233" w:rsidRDefault="00CA0B92" w:rsidP="009E7223">
      <w:pPr>
        <w:adjustRightInd w:val="0"/>
        <w:snapToGrid w:val="0"/>
        <w:spacing w:line="360" w:lineRule="auto"/>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平原沙荒新建园地</w:t>
      </w:r>
      <w:r>
        <w:rPr>
          <w:rFonts w:ascii="Times New Roman" w:eastAsia="宋体" w:hAnsi="Times New Roman" w:cs="Times New Roman" w:hint="eastAsia"/>
          <w:color w:val="000000"/>
          <w:szCs w:val="20"/>
        </w:rPr>
        <w:t>80</w:t>
      </w:r>
      <w:r>
        <w:rPr>
          <w:rFonts w:ascii="Times New Roman" w:eastAsia="宋体" w:hAnsi="Times New Roman" w:cs="Times New Roman" w:hint="eastAsia"/>
          <w:color w:val="000000"/>
          <w:szCs w:val="20"/>
        </w:rPr>
        <w:t>亩</w:t>
      </w:r>
      <w:r>
        <w:rPr>
          <w:rFonts w:ascii="Times New Roman" w:eastAsia="宋体" w:hAnsi="Times New Roman" w:cs="Times New Roman"/>
          <w:color w:val="000000"/>
          <w:szCs w:val="20"/>
        </w:rPr>
        <w:t>～</w:t>
      </w:r>
      <w:r>
        <w:rPr>
          <w:rFonts w:ascii="Times New Roman" w:eastAsia="宋体" w:hAnsi="Times New Roman" w:cs="Times New Roman" w:hint="eastAsia"/>
          <w:color w:val="000000"/>
          <w:szCs w:val="20"/>
        </w:rPr>
        <w:t>100</w:t>
      </w:r>
      <w:r>
        <w:rPr>
          <w:rFonts w:ascii="Times New Roman" w:eastAsia="宋体" w:hAnsi="Times New Roman" w:cs="Times New Roman" w:hint="eastAsia"/>
          <w:color w:val="000000"/>
          <w:szCs w:val="20"/>
        </w:rPr>
        <w:t>亩需配置一眼机井，尽量设置在一、二条主路或支路旁，山地果园可在高于园地海拔处修建蓄水池；灌水渠道位置要高，并与道路系统相结合，可用石料或水泥材料修建，有条件的可铺设输水管道，减少水在途中的流失及渗透。</w:t>
      </w:r>
    </w:p>
    <w:p w:rsidR="00786233" w:rsidRDefault="00CA0B92" w:rsidP="009E7223">
      <w:pPr>
        <w:adjustRightInd w:val="0"/>
        <w:snapToGrid w:val="0"/>
        <w:spacing w:line="360" w:lineRule="auto"/>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明确排水去向，修建排水沟网或利用园区道路排水；若园地较低洼，设置机械排水点备向园外排水。</w:t>
      </w:r>
    </w:p>
    <w:p w:rsidR="00786233" w:rsidRDefault="009E7223" w:rsidP="009E7223">
      <w:pPr>
        <w:pStyle w:val="2"/>
        <w:rPr>
          <w:rFonts w:hint="default"/>
        </w:rPr>
      </w:pPr>
      <w:r>
        <w:t>4.4</w:t>
      </w:r>
      <w:r w:rsidR="00CA0B92">
        <w:t xml:space="preserve"> 防护林</w:t>
      </w:r>
    </w:p>
    <w:p w:rsidR="00786233" w:rsidRDefault="00CA0B92" w:rsidP="009E7223">
      <w:pPr>
        <w:adjustRightInd w:val="0"/>
        <w:snapToGrid w:val="0"/>
        <w:spacing w:line="360" w:lineRule="auto"/>
        <w:ind w:firstLineChars="200" w:firstLine="420"/>
        <w:rPr>
          <w:rFonts w:ascii="Times New Roman" w:eastAsia="宋体" w:hAnsi="Times New Roman" w:cs="Times New Roman"/>
          <w:color w:val="000000"/>
          <w:szCs w:val="20"/>
        </w:rPr>
      </w:pPr>
      <w:r>
        <w:rPr>
          <w:rFonts w:ascii="宋体" w:eastAsia="宋体" w:hAnsi="宋体" w:cs="宋体" w:hint="eastAsia"/>
          <w:szCs w:val="21"/>
        </w:rPr>
        <w:t>防护林应选择适地、高大、速生、抗病虫且经济价值高的树种，栽植时间早于杏树1年～2年或同期，宜采用乔灌混栽方式。</w:t>
      </w:r>
    </w:p>
    <w:p w:rsidR="00786233" w:rsidRDefault="009E7223" w:rsidP="009E7223">
      <w:pPr>
        <w:pStyle w:val="1"/>
        <w:rPr>
          <w:rFonts w:hint="default"/>
        </w:rPr>
      </w:pPr>
      <w:r>
        <w:t xml:space="preserve">5 </w:t>
      </w:r>
      <w:r w:rsidR="00CA0B92">
        <w:t>品种与苗木</w:t>
      </w:r>
    </w:p>
    <w:p w:rsidR="00786233" w:rsidRPr="009E7223" w:rsidRDefault="009E7223" w:rsidP="009E7223">
      <w:pPr>
        <w:pStyle w:val="2"/>
        <w:rPr>
          <w:rFonts w:hint="default"/>
        </w:rPr>
      </w:pPr>
      <w:r>
        <w:t xml:space="preserve">5.1 </w:t>
      </w:r>
      <w:r w:rsidR="00CA0B92">
        <w:t>品种选择原则</w:t>
      </w:r>
    </w:p>
    <w:p w:rsidR="00786233" w:rsidRDefault="00CA0B92" w:rsidP="009E7223">
      <w:pPr>
        <w:pStyle w:val="10"/>
        <w:tabs>
          <w:tab w:val="left" w:pos="142"/>
        </w:tabs>
        <w:adjustRightInd w:val="0"/>
        <w:snapToGrid w:val="0"/>
        <w:spacing w:line="360" w:lineRule="auto"/>
        <w:rPr>
          <w:rFonts w:ascii="宋体" w:hAnsi="宋体" w:cs="宋体"/>
        </w:rPr>
      </w:pPr>
      <w:r>
        <w:rPr>
          <w:rFonts w:hint="eastAsia"/>
          <w:color w:val="000000"/>
          <w:szCs w:val="20"/>
        </w:rPr>
        <w:t>根据市场需求、品种生物学特性、气候条件和立地条件而定，优先选取品质优、抗性强、丰产、稳产的优良品种。</w:t>
      </w:r>
    </w:p>
    <w:p w:rsidR="00786233" w:rsidRDefault="00D904A1" w:rsidP="009E7223">
      <w:pPr>
        <w:pStyle w:val="2"/>
        <w:rPr>
          <w:rFonts w:hint="default"/>
        </w:rPr>
      </w:pPr>
      <w:r>
        <w:t xml:space="preserve">5.2 </w:t>
      </w:r>
      <w:r w:rsidR="00CA0B92">
        <w:t>主栽品种</w:t>
      </w:r>
    </w:p>
    <w:p w:rsidR="00786233" w:rsidRDefault="00CA0B92" w:rsidP="009E7223">
      <w:pPr>
        <w:pStyle w:val="10"/>
        <w:adjustRightInd w:val="0"/>
        <w:snapToGrid w:val="0"/>
        <w:spacing w:line="360" w:lineRule="auto"/>
        <w:rPr>
          <w:color w:val="000000"/>
          <w:szCs w:val="20"/>
        </w:rPr>
      </w:pPr>
      <w:r>
        <w:rPr>
          <w:rFonts w:hint="eastAsia"/>
          <w:color w:val="000000"/>
          <w:szCs w:val="20"/>
        </w:rPr>
        <w:t>早中晚熟品种合理搭配。推荐品种：金荷、子荷、金宇、早金艳、丰园红、甘玉等极早熟品种；冀早红、金辉、国之鲜、京香红、香白、玫硕、金太阳、金秀等早熟品种；兰州大接杏、二红、大丰、巨鹿大白杏、国强等中熟品种；串枝红、曹杏、冀光、阜城杏梅、串枝白、金硕、京佳</w:t>
      </w:r>
      <w:r>
        <w:rPr>
          <w:rFonts w:hint="eastAsia"/>
          <w:color w:val="000000"/>
          <w:szCs w:val="20"/>
        </w:rPr>
        <w:t>2</w:t>
      </w:r>
      <w:r>
        <w:rPr>
          <w:rFonts w:hint="eastAsia"/>
          <w:color w:val="000000"/>
          <w:szCs w:val="20"/>
        </w:rPr>
        <w:t>号、丰园</w:t>
      </w:r>
      <w:r>
        <w:rPr>
          <w:rFonts w:hint="eastAsia"/>
          <w:color w:val="000000"/>
          <w:szCs w:val="20"/>
        </w:rPr>
        <w:t>344</w:t>
      </w:r>
      <w:r>
        <w:rPr>
          <w:rFonts w:hint="eastAsia"/>
          <w:color w:val="000000"/>
          <w:szCs w:val="20"/>
        </w:rPr>
        <w:t>等晚熟品种。</w:t>
      </w:r>
    </w:p>
    <w:p w:rsidR="00786233" w:rsidRDefault="00CA0B92" w:rsidP="009E7223">
      <w:pPr>
        <w:pStyle w:val="2"/>
        <w:rPr>
          <w:rFonts w:hint="default"/>
        </w:rPr>
      </w:pPr>
      <w:r>
        <w:t>5.3</w:t>
      </w:r>
      <w:r w:rsidR="009E7223">
        <w:t xml:space="preserve"> </w:t>
      </w:r>
      <w:r>
        <w:t>授粉品种</w:t>
      </w:r>
    </w:p>
    <w:p w:rsidR="00786233" w:rsidRDefault="00CA0B92" w:rsidP="009E7223">
      <w:pPr>
        <w:pStyle w:val="10"/>
        <w:adjustRightInd w:val="0"/>
        <w:snapToGrid w:val="0"/>
        <w:spacing w:line="360" w:lineRule="auto"/>
        <w:rPr>
          <w:color w:val="000000"/>
          <w:szCs w:val="20"/>
        </w:rPr>
      </w:pPr>
      <w:r>
        <w:rPr>
          <w:rFonts w:hint="eastAsia"/>
          <w:color w:val="000000"/>
          <w:szCs w:val="20"/>
        </w:rPr>
        <w:t>与主栽品种的始结果年龄、开花期、果实成熟期基本一致，具有大量的、萌发率高的花粉；与主栽品种在授粉方面有良好的亲合力，并能互相授粉；丰产、果实经济价值较高；与主栽品种的树体长势基本一致。</w:t>
      </w:r>
    </w:p>
    <w:p w:rsidR="00786233" w:rsidRDefault="00CA0B92" w:rsidP="009E7223">
      <w:pPr>
        <w:pStyle w:val="10"/>
        <w:adjustRightInd w:val="0"/>
        <w:snapToGrid w:val="0"/>
        <w:spacing w:line="360" w:lineRule="auto"/>
        <w:rPr>
          <w:strike/>
          <w:color w:val="000000"/>
          <w:szCs w:val="20"/>
        </w:rPr>
      </w:pPr>
      <w:r>
        <w:rPr>
          <w:rFonts w:hint="eastAsia"/>
          <w:color w:val="000000"/>
          <w:szCs w:val="20"/>
        </w:rPr>
        <w:t>同一果园内应选</w:t>
      </w:r>
      <w:r>
        <w:rPr>
          <w:rFonts w:hint="eastAsia"/>
          <w:color w:val="000000"/>
          <w:szCs w:val="20"/>
        </w:rPr>
        <w:t>1</w:t>
      </w:r>
      <w:r>
        <w:rPr>
          <w:rFonts w:hint="eastAsia"/>
          <w:color w:val="000000"/>
          <w:szCs w:val="20"/>
        </w:rPr>
        <w:t>个～</w:t>
      </w:r>
      <w:r>
        <w:rPr>
          <w:rFonts w:hint="eastAsia"/>
          <w:color w:val="000000"/>
          <w:szCs w:val="20"/>
        </w:rPr>
        <w:t>2</w:t>
      </w:r>
      <w:r>
        <w:rPr>
          <w:rFonts w:hint="eastAsia"/>
          <w:color w:val="000000"/>
          <w:szCs w:val="20"/>
        </w:rPr>
        <w:t>个品种做为授粉树，授粉品种与主栽品种的比例为</w:t>
      </w:r>
      <w:r>
        <w:rPr>
          <w:rFonts w:hint="eastAsia"/>
          <w:color w:val="000000"/>
          <w:szCs w:val="20"/>
        </w:rPr>
        <w:t>1:4</w:t>
      </w:r>
      <w:r>
        <w:rPr>
          <w:rFonts w:hint="eastAsia"/>
          <w:color w:val="000000"/>
          <w:szCs w:val="20"/>
        </w:rPr>
        <w:t>～</w:t>
      </w:r>
      <w:r>
        <w:rPr>
          <w:rFonts w:hint="eastAsia"/>
          <w:color w:val="000000"/>
          <w:szCs w:val="20"/>
        </w:rPr>
        <w:t>1:5</w:t>
      </w:r>
      <w:r>
        <w:rPr>
          <w:rFonts w:hint="eastAsia"/>
          <w:color w:val="000000"/>
          <w:szCs w:val="20"/>
        </w:rPr>
        <w:t>。</w:t>
      </w:r>
    </w:p>
    <w:p w:rsidR="00786233" w:rsidRDefault="009E7223" w:rsidP="009E7223">
      <w:pPr>
        <w:pStyle w:val="2"/>
        <w:rPr>
          <w:rFonts w:hint="default"/>
        </w:rPr>
      </w:pPr>
      <w:r>
        <w:t xml:space="preserve">5.4 </w:t>
      </w:r>
      <w:r w:rsidR="00CA0B92">
        <w:t>苗木</w:t>
      </w:r>
    </w:p>
    <w:p w:rsidR="00786233" w:rsidRDefault="00CA0B92" w:rsidP="009E7223">
      <w:pPr>
        <w:pStyle w:val="10"/>
        <w:adjustRightInd w:val="0"/>
        <w:snapToGrid w:val="0"/>
        <w:spacing w:line="360" w:lineRule="auto"/>
        <w:rPr>
          <w:color w:val="000000"/>
          <w:szCs w:val="20"/>
        </w:rPr>
      </w:pPr>
      <w:r>
        <w:rPr>
          <w:rFonts w:hint="eastAsia"/>
          <w:color w:val="000000"/>
          <w:szCs w:val="20"/>
        </w:rPr>
        <w:t>选择品种纯正、无病虫害及机械伤的苗高≥</w:t>
      </w:r>
      <w:r>
        <w:rPr>
          <w:rFonts w:hint="eastAsia"/>
          <w:color w:val="000000"/>
          <w:szCs w:val="20"/>
        </w:rPr>
        <w:t>100cm</w:t>
      </w:r>
      <w:r>
        <w:rPr>
          <w:rFonts w:hint="eastAsia"/>
          <w:color w:val="000000"/>
          <w:szCs w:val="20"/>
        </w:rPr>
        <w:t>，地径≥</w:t>
      </w:r>
      <w:r>
        <w:rPr>
          <w:rFonts w:hint="eastAsia"/>
          <w:color w:val="000000"/>
          <w:szCs w:val="20"/>
        </w:rPr>
        <w:t>0.8cm</w:t>
      </w:r>
      <w:r>
        <w:rPr>
          <w:rFonts w:hint="eastAsia"/>
          <w:color w:val="000000"/>
          <w:szCs w:val="20"/>
        </w:rPr>
        <w:t>一级苗木或苗高≥</w:t>
      </w:r>
      <w:r>
        <w:rPr>
          <w:rFonts w:hint="eastAsia"/>
          <w:color w:val="000000"/>
          <w:szCs w:val="20"/>
        </w:rPr>
        <w:t>70cm</w:t>
      </w:r>
      <w:r>
        <w:rPr>
          <w:rFonts w:hint="eastAsia"/>
          <w:color w:val="000000"/>
          <w:szCs w:val="20"/>
        </w:rPr>
        <w:t>，地径≥</w:t>
      </w:r>
      <w:r>
        <w:rPr>
          <w:rFonts w:hint="eastAsia"/>
          <w:color w:val="000000"/>
          <w:szCs w:val="20"/>
        </w:rPr>
        <w:t>0.6cm</w:t>
      </w:r>
      <w:r>
        <w:rPr>
          <w:rFonts w:hint="eastAsia"/>
          <w:color w:val="000000"/>
          <w:szCs w:val="20"/>
        </w:rPr>
        <w:t>二级苗木。要求嫁接愈合完好，苗木枝条生长充实，整形带芽饱满，主根长度≥</w:t>
      </w:r>
      <w:r>
        <w:rPr>
          <w:rFonts w:hint="eastAsia"/>
          <w:color w:val="000000"/>
          <w:szCs w:val="20"/>
        </w:rPr>
        <w:t>20cm</w:t>
      </w:r>
      <w:r>
        <w:rPr>
          <w:rFonts w:hint="eastAsia"/>
          <w:color w:val="000000"/>
          <w:szCs w:val="20"/>
        </w:rPr>
        <w:t>，有长度≥</w:t>
      </w:r>
      <w:r>
        <w:rPr>
          <w:rFonts w:hint="eastAsia"/>
          <w:color w:val="000000"/>
          <w:szCs w:val="20"/>
        </w:rPr>
        <w:t>15cm</w:t>
      </w:r>
      <w:r>
        <w:rPr>
          <w:rFonts w:hint="eastAsia"/>
          <w:color w:val="000000"/>
          <w:szCs w:val="20"/>
        </w:rPr>
        <w:t>侧根</w:t>
      </w:r>
      <w:r>
        <w:rPr>
          <w:rFonts w:hint="eastAsia"/>
          <w:color w:val="000000"/>
          <w:szCs w:val="20"/>
        </w:rPr>
        <w:t>4</w:t>
      </w:r>
      <w:r>
        <w:rPr>
          <w:rFonts w:hint="eastAsia"/>
          <w:color w:val="000000"/>
          <w:szCs w:val="20"/>
        </w:rPr>
        <w:t>条</w:t>
      </w:r>
      <w:r>
        <w:rPr>
          <w:color w:val="000000"/>
          <w:szCs w:val="20"/>
        </w:rPr>
        <w:t>～</w:t>
      </w:r>
      <w:r>
        <w:rPr>
          <w:rFonts w:hint="eastAsia"/>
          <w:color w:val="000000"/>
          <w:szCs w:val="20"/>
        </w:rPr>
        <w:t>6</w:t>
      </w:r>
      <w:r>
        <w:rPr>
          <w:rFonts w:hint="eastAsia"/>
          <w:color w:val="000000"/>
          <w:szCs w:val="20"/>
        </w:rPr>
        <w:t>条。</w:t>
      </w:r>
    </w:p>
    <w:p w:rsidR="00786233" w:rsidRDefault="009E7223" w:rsidP="009E7223">
      <w:pPr>
        <w:pStyle w:val="1"/>
        <w:rPr>
          <w:rFonts w:hint="default"/>
        </w:rPr>
      </w:pPr>
      <w:r>
        <w:t xml:space="preserve">6 </w:t>
      </w:r>
      <w:r w:rsidR="00CA0B92">
        <w:t>栽植</w:t>
      </w:r>
    </w:p>
    <w:p w:rsidR="00786233" w:rsidRDefault="009E7223" w:rsidP="009E7223">
      <w:pPr>
        <w:pStyle w:val="2"/>
        <w:rPr>
          <w:rFonts w:hint="default"/>
        </w:rPr>
      </w:pPr>
      <w:r>
        <w:lastRenderedPageBreak/>
        <w:t xml:space="preserve">6.1 </w:t>
      </w:r>
      <w:r w:rsidR="00CA0B92">
        <w:t>栽植前的准备</w:t>
      </w:r>
    </w:p>
    <w:p w:rsidR="00786233" w:rsidRDefault="00CA0B92" w:rsidP="009E7223">
      <w:pPr>
        <w:pStyle w:val="10"/>
        <w:adjustRightInd w:val="0"/>
        <w:snapToGrid w:val="0"/>
        <w:spacing w:line="360" w:lineRule="auto"/>
        <w:rPr>
          <w:color w:val="000000"/>
          <w:szCs w:val="20"/>
        </w:rPr>
      </w:pPr>
      <w:r>
        <w:rPr>
          <w:rFonts w:hint="eastAsia"/>
          <w:color w:val="000000"/>
          <w:szCs w:val="20"/>
        </w:rPr>
        <w:t>定植前应进行土地平整，山区或丘陵地应修筑水平梯田；按设计的株行距在园地上按行向进行拉线打点，标好定植坑的中心点。</w:t>
      </w:r>
    </w:p>
    <w:p w:rsidR="00786233" w:rsidRDefault="009E7223" w:rsidP="009E7223">
      <w:pPr>
        <w:pStyle w:val="2"/>
        <w:rPr>
          <w:rFonts w:ascii="Times New Roman" w:hint="default"/>
        </w:rPr>
      </w:pPr>
      <w:bookmarkStart w:id="2" w:name="_Toc19694"/>
      <w:r>
        <w:t xml:space="preserve">6.2 </w:t>
      </w:r>
      <w:r w:rsidR="00CA0B92">
        <w:rPr>
          <w:rFonts w:ascii="Times New Roman"/>
        </w:rPr>
        <w:t>栽植时期</w:t>
      </w:r>
      <w:bookmarkEnd w:id="2"/>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kern w:val="2"/>
        </w:rPr>
      </w:pPr>
      <w:r>
        <w:rPr>
          <w:rFonts w:ascii="Times New Roman" w:hint="eastAsia"/>
          <w:color w:val="000000"/>
          <w:kern w:val="2"/>
        </w:rPr>
        <w:t>春栽在土壤解冻后至苗木发芽前进行；秋栽在苗木落叶后至土壤结冻前进行。</w:t>
      </w:r>
    </w:p>
    <w:p w:rsidR="00786233" w:rsidRDefault="009E7223" w:rsidP="009E7223">
      <w:pPr>
        <w:pStyle w:val="2"/>
        <w:rPr>
          <w:rFonts w:ascii="Times New Roman" w:hint="default"/>
        </w:rPr>
      </w:pPr>
      <w:bookmarkStart w:id="3" w:name="_Toc24232"/>
      <w:r>
        <w:t xml:space="preserve">6.3 </w:t>
      </w:r>
      <w:r w:rsidR="00CA0B92">
        <w:rPr>
          <w:rFonts w:ascii="Times New Roman"/>
        </w:rPr>
        <w:t>栽植密度</w:t>
      </w:r>
      <w:bookmarkEnd w:id="3"/>
    </w:p>
    <w:p w:rsidR="00786233" w:rsidRDefault="00CA0B92" w:rsidP="009E7223">
      <w:pPr>
        <w:pStyle w:val="10"/>
        <w:adjustRightInd w:val="0"/>
        <w:snapToGrid w:val="0"/>
        <w:spacing w:line="360" w:lineRule="auto"/>
        <w:rPr>
          <w:color w:val="000000"/>
          <w:szCs w:val="20"/>
        </w:rPr>
      </w:pPr>
      <w:r>
        <w:rPr>
          <w:rFonts w:hint="eastAsia"/>
          <w:color w:val="000000"/>
          <w:szCs w:val="20"/>
        </w:rPr>
        <w:t>在土壤条件比较差的山区梯田或丘陵地株行距为</w:t>
      </w:r>
      <w:r w:rsidR="009E6D78">
        <w:rPr>
          <w:rFonts w:hint="eastAsia"/>
          <w:color w:val="000000"/>
          <w:szCs w:val="20"/>
        </w:rPr>
        <w:t>（</w:t>
      </w:r>
      <w:r>
        <w:rPr>
          <w:rFonts w:hint="eastAsia"/>
          <w:color w:val="000000"/>
          <w:szCs w:val="20"/>
        </w:rPr>
        <w:t>2m</w:t>
      </w:r>
      <w:r>
        <w:rPr>
          <w:rFonts w:hint="eastAsia"/>
          <w:color w:val="000000"/>
          <w:szCs w:val="20"/>
        </w:rPr>
        <w:t>～</w:t>
      </w:r>
      <w:r>
        <w:rPr>
          <w:rFonts w:hint="eastAsia"/>
          <w:color w:val="000000"/>
          <w:szCs w:val="20"/>
        </w:rPr>
        <w:t>3m</w:t>
      </w:r>
      <w:r w:rsidR="009E6D78">
        <w:rPr>
          <w:rFonts w:hint="eastAsia"/>
          <w:color w:val="000000"/>
          <w:szCs w:val="20"/>
        </w:rPr>
        <w:t>）</w:t>
      </w:r>
      <w:r>
        <w:rPr>
          <w:rFonts w:hint="eastAsia"/>
          <w:color w:val="000000"/>
          <w:szCs w:val="20"/>
        </w:rPr>
        <w:t>×</w:t>
      </w:r>
      <w:r>
        <w:rPr>
          <w:rFonts w:hint="eastAsia"/>
          <w:color w:val="000000"/>
          <w:szCs w:val="20"/>
        </w:rPr>
        <w:t>(4m</w:t>
      </w:r>
      <w:r>
        <w:rPr>
          <w:rFonts w:hint="eastAsia"/>
          <w:color w:val="000000"/>
          <w:szCs w:val="20"/>
        </w:rPr>
        <w:t>～</w:t>
      </w:r>
      <w:r>
        <w:rPr>
          <w:rFonts w:hint="eastAsia"/>
          <w:color w:val="000000"/>
          <w:szCs w:val="20"/>
        </w:rPr>
        <w:t>5m)</w:t>
      </w:r>
      <w:r>
        <w:rPr>
          <w:rFonts w:hint="eastAsia"/>
          <w:color w:val="000000"/>
          <w:szCs w:val="20"/>
        </w:rPr>
        <w:t>，每亩种植</w:t>
      </w:r>
      <w:r>
        <w:rPr>
          <w:rFonts w:hint="eastAsia"/>
          <w:color w:val="000000"/>
          <w:szCs w:val="20"/>
        </w:rPr>
        <w:t>44</w:t>
      </w:r>
      <w:r>
        <w:rPr>
          <w:rFonts w:hint="eastAsia"/>
          <w:color w:val="000000"/>
          <w:szCs w:val="20"/>
        </w:rPr>
        <w:t>株～</w:t>
      </w:r>
      <w:r>
        <w:rPr>
          <w:rFonts w:hint="eastAsia"/>
          <w:color w:val="000000"/>
          <w:szCs w:val="20"/>
        </w:rPr>
        <w:t>55</w:t>
      </w:r>
      <w:r>
        <w:rPr>
          <w:rFonts w:hint="eastAsia"/>
          <w:color w:val="000000"/>
          <w:szCs w:val="20"/>
        </w:rPr>
        <w:t>株；地势平坦、土壤肥沃、土层深厚的平原地，株行距为</w:t>
      </w:r>
      <w:r>
        <w:rPr>
          <w:rFonts w:hint="eastAsia"/>
          <w:color w:val="000000"/>
          <w:szCs w:val="20"/>
        </w:rPr>
        <w:t>(3m</w:t>
      </w:r>
      <w:r>
        <w:rPr>
          <w:rFonts w:hint="eastAsia"/>
          <w:color w:val="000000"/>
          <w:szCs w:val="20"/>
        </w:rPr>
        <w:t>～</w:t>
      </w:r>
      <w:r>
        <w:rPr>
          <w:rFonts w:hint="eastAsia"/>
          <w:color w:val="000000"/>
          <w:szCs w:val="20"/>
        </w:rPr>
        <w:t>4m)</w:t>
      </w:r>
      <w:r>
        <w:rPr>
          <w:rFonts w:hint="eastAsia"/>
          <w:color w:val="000000"/>
          <w:szCs w:val="20"/>
        </w:rPr>
        <w:t>×</w:t>
      </w:r>
      <w:r>
        <w:rPr>
          <w:rFonts w:hint="eastAsia"/>
          <w:color w:val="000000"/>
          <w:szCs w:val="20"/>
        </w:rPr>
        <w:t>(5m</w:t>
      </w:r>
      <w:r>
        <w:rPr>
          <w:rFonts w:hint="eastAsia"/>
          <w:color w:val="000000"/>
          <w:szCs w:val="20"/>
        </w:rPr>
        <w:t>～</w:t>
      </w:r>
      <w:r>
        <w:rPr>
          <w:rFonts w:hint="eastAsia"/>
          <w:color w:val="000000"/>
          <w:szCs w:val="20"/>
        </w:rPr>
        <w:t>6m)</w:t>
      </w:r>
      <w:r>
        <w:rPr>
          <w:rFonts w:hint="eastAsia"/>
          <w:color w:val="000000"/>
          <w:szCs w:val="20"/>
        </w:rPr>
        <w:t>，每亩种植</w:t>
      </w:r>
      <w:r>
        <w:rPr>
          <w:rFonts w:hint="eastAsia"/>
          <w:color w:val="000000"/>
          <w:szCs w:val="20"/>
        </w:rPr>
        <w:t>28</w:t>
      </w:r>
      <w:r>
        <w:rPr>
          <w:rFonts w:hint="eastAsia"/>
          <w:color w:val="000000"/>
          <w:szCs w:val="20"/>
        </w:rPr>
        <w:t>株～</w:t>
      </w:r>
      <w:r>
        <w:rPr>
          <w:rFonts w:hint="eastAsia"/>
          <w:color w:val="000000"/>
          <w:szCs w:val="20"/>
        </w:rPr>
        <w:t>44</w:t>
      </w:r>
      <w:r>
        <w:rPr>
          <w:rFonts w:hint="eastAsia"/>
          <w:color w:val="000000"/>
          <w:szCs w:val="20"/>
        </w:rPr>
        <w:t>株。</w:t>
      </w:r>
    </w:p>
    <w:p w:rsidR="00786233" w:rsidRDefault="00CA0B92" w:rsidP="009E7223">
      <w:pPr>
        <w:pStyle w:val="2"/>
        <w:rPr>
          <w:rFonts w:hint="default"/>
        </w:rPr>
      </w:pPr>
      <w:r>
        <w:t>6</w:t>
      </w:r>
      <w:r>
        <w:rPr>
          <w:rFonts w:cs="黑体"/>
        </w:rPr>
        <w:t>.</w:t>
      </w:r>
      <w:r w:rsidR="009E7223">
        <w:t xml:space="preserve">4 </w:t>
      </w:r>
      <w:r>
        <w:t>栽植方法</w:t>
      </w:r>
    </w:p>
    <w:p w:rsidR="00786233" w:rsidRDefault="00CA0B92" w:rsidP="009E7223">
      <w:pPr>
        <w:pStyle w:val="a4"/>
        <w:adjustRightInd w:val="0"/>
        <w:snapToGrid w:val="0"/>
        <w:spacing w:line="360" w:lineRule="auto"/>
        <w:ind w:firstLineChars="200" w:firstLine="420"/>
        <w:rPr>
          <w:rFonts w:ascii="Times New Roman" w:eastAsia="宋体" w:hAnsi="Times New Roman" w:cs="Times New Roman"/>
          <w:color w:val="000000"/>
          <w:szCs w:val="20"/>
        </w:rPr>
      </w:pPr>
      <w:r>
        <w:rPr>
          <w:rFonts w:ascii="Times New Roman" w:eastAsia="宋体" w:hAnsi="Times New Roman" w:cs="Times New Roman" w:hint="eastAsia"/>
          <w:color w:val="000000"/>
          <w:szCs w:val="20"/>
        </w:rPr>
        <w:t>栽植前将苗木根系用清水浸</w:t>
      </w:r>
      <w:r>
        <w:rPr>
          <w:rFonts w:ascii="Times New Roman" w:eastAsia="宋体" w:hAnsi="Times New Roman" w:cs="Times New Roman" w:hint="eastAsia"/>
          <w:color w:val="000000"/>
          <w:szCs w:val="20"/>
        </w:rPr>
        <w:t>8h</w:t>
      </w:r>
      <w:r>
        <w:rPr>
          <w:rFonts w:ascii="Times New Roman" w:eastAsia="宋体" w:hAnsi="Times New Roman" w:cs="Times New Roman" w:hint="eastAsia"/>
          <w:color w:val="000000"/>
          <w:szCs w:val="20"/>
        </w:rPr>
        <w:t>～</w:t>
      </w:r>
      <w:r>
        <w:rPr>
          <w:rFonts w:ascii="Times New Roman" w:eastAsia="宋体" w:hAnsi="Times New Roman" w:cs="Times New Roman" w:hint="eastAsia"/>
          <w:color w:val="000000"/>
          <w:szCs w:val="20"/>
        </w:rPr>
        <w:t>12h</w:t>
      </w:r>
      <w:r>
        <w:rPr>
          <w:rFonts w:ascii="Times New Roman" w:eastAsia="宋体" w:hAnsi="Times New Roman" w:cs="Times New Roman" w:hint="eastAsia"/>
          <w:color w:val="000000"/>
          <w:szCs w:val="20"/>
        </w:rPr>
        <w:t>，将主要根系剪出新茬；在定植点挖长、宽、深各</w:t>
      </w:r>
      <w:r>
        <w:rPr>
          <w:rFonts w:ascii="Times New Roman" w:eastAsia="宋体" w:hAnsi="Times New Roman" w:cs="Times New Roman" w:hint="eastAsia"/>
          <w:color w:val="000000"/>
          <w:szCs w:val="20"/>
        </w:rPr>
        <w:t>60cm</w:t>
      </w:r>
      <w:r>
        <w:rPr>
          <w:rFonts w:ascii="Times New Roman" w:eastAsia="宋体" w:hAnsi="Times New Roman" w:cs="Times New Roman" w:hint="eastAsia"/>
          <w:color w:val="000000"/>
          <w:szCs w:val="20"/>
        </w:rPr>
        <w:t>～</w:t>
      </w:r>
      <w:r>
        <w:rPr>
          <w:rFonts w:ascii="Times New Roman" w:eastAsia="宋体" w:hAnsi="Times New Roman" w:cs="Times New Roman" w:hint="eastAsia"/>
          <w:color w:val="000000"/>
          <w:szCs w:val="20"/>
        </w:rPr>
        <w:t>80cm</w:t>
      </w:r>
      <w:r>
        <w:rPr>
          <w:rFonts w:ascii="Times New Roman" w:eastAsia="宋体" w:hAnsi="Times New Roman" w:cs="Times New Roman" w:hint="eastAsia"/>
          <w:color w:val="000000"/>
          <w:szCs w:val="20"/>
        </w:rPr>
        <w:t>的定植穴，表土与底土分放；每定植穴施</w:t>
      </w:r>
      <w:r>
        <w:rPr>
          <w:rFonts w:ascii="Times New Roman" w:eastAsia="宋体" w:hAnsi="Times New Roman" w:cs="Times New Roman" w:hint="eastAsia"/>
          <w:color w:val="000000"/>
          <w:szCs w:val="20"/>
        </w:rPr>
        <w:t>30kg</w:t>
      </w:r>
      <w:r>
        <w:rPr>
          <w:rFonts w:ascii="Times New Roman" w:eastAsia="宋体" w:hAnsi="Times New Roman" w:cs="Times New Roman" w:hint="eastAsia"/>
          <w:color w:val="000000"/>
          <w:szCs w:val="20"/>
        </w:rPr>
        <w:t>～</w:t>
      </w:r>
      <w:r>
        <w:rPr>
          <w:rFonts w:ascii="Times New Roman" w:eastAsia="宋体" w:hAnsi="Times New Roman" w:cs="Times New Roman" w:hint="eastAsia"/>
          <w:color w:val="000000"/>
          <w:szCs w:val="20"/>
        </w:rPr>
        <w:t>50kg</w:t>
      </w:r>
      <w:r>
        <w:rPr>
          <w:rFonts w:ascii="Times New Roman" w:eastAsia="宋体" w:hAnsi="Times New Roman" w:cs="Times New Roman" w:hint="eastAsia"/>
          <w:color w:val="000000"/>
          <w:szCs w:val="20"/>
        </w:rPr>
        <w:t>腐熟的农家肥或</w:t>
      </w:r>
      <w:r>
        <w:rPr>
          <w:rFonts w:ascii="Times New Roman" w:eastAsia="宋体" w:hAnsi="Times New Roman" w:cs="Times New Roman" w:hint="eastAsia"/>
          <w:szCs w:val="20"/>
        </w:rPr>
        <w:t>3kg</w:t>
      </w:r>
      <w:r>
        <w:rPr>
          <w:rFonts w:ascii="Times New Roman" w:eastAsia="宋体" w:hAnsi="Times New Roman" w:cs="Times New Roman" w:hint="eastAsia"/>
          <w:szCs w:val="20"/>
        </w:rPr>
        <w:t>～</w:t>
      </w:r>
      <w:r>
        <w:rPr>
          <w:rFonts w:ascii="Times New Roman" w:eastAsia="宋体" w:hAnsi="Times New Roman" w:cs="Times New Roman" w:hint="eastAsia"/>
          <w:szCs w:val="20"/>
        </w:rPr>
        <w:t>5kg</w:t>
      </w:r>
      <w:r>
        <w:rPr>
          <w:rFonts w:ascii="Times New Roman" w:eastAsia="宋体" w:hAnsi="Times New Roman" w:cs="Times New Roman" w:hint="eastAsia"/>
          <w:szCs w:val="20"/>
        </w:rPr>
        <w:t>商品有机肥、</w:t>
      </w:r>
      <w:r>
        <w:rPr>
          <w:rFonts w:ascii="Times New Roman" w:eastAsia="宋体" w:hAnsi="Times New Roman" w:cs="Times New Roman" w:hint="eastAsia"/>
          <w:color w:val="000000"/>
          <w:szCs w:val="20"/>
        </w:rPr>
        <w:t>0.5kg</w:t>
      </w:r>
      <w:r>
        <w:rPr>
          <w:rFonts w:ascii="Times New Roman" w:eastAsia="宋体" w:hAnsi="Times New Roman" w:cs="Times New Roman" w:hint="eastAsia"/>
          <w:color w:val="000000"/>
          <w:szCs w:val="20"/>
        </w:rPr>
        <w:t>～</w:t>
      </w:r>
      <w:r>
        <w:rPr>
          <w:rFonts w:ascii="Times New Roman" w:eastAsia="宋体" w:hAnsi="Times New Roman" w:cs="Times New Roman" w:hint="eastAsia"/>
          <w:color w:val="000000"/>
          <w:szCs w:val="20"/>
        </w:rPr>
        <w:t>1kg</w:t>
      </w:r>
      <w:r>
        <w:rPr>
          <w:rFonts w:ascii="Times New Roman" w:eastAsia="宋体" w:hAnsi="Times New Roman" w:cs="Times New Roman" w:hint="eastAsia"/>
          <w:color w:val="000000"/>
          <w:szCs w:val="20"/>
        </w:rPr>
        <w:t>过磷酸钙，与表土充分拌匀后回填，灌水沉实后栽植，栽植时埋土不要过深，以苗木根颈与地面相平为宜，根系充分舒展。</w:t>
      </w:r>
    </w:p>
    <w:p w:rsidR="00786233" w:rsidRPr="00524370" w:rsidRDefault="00CA0B92" w:rsidP="009E7223">
      <w:pPr>
        <w:pStyle w:val="2"/>
        <w:rPr>
          <w:rFonts w:hint="default"/>
          <w:b/>
        </w:rPr>
      </w:pPr>
      <w:r>
        <w:t>6</w:t>
      </w:r>
      <w:r>
        <w:rPr>
          <w:rFonts w:cs="黑体"/>
        </w:rPr>
        <w:t>.</w:t>
      </w:r>
      <w:r w:rsidR="009E7223">
        <w:t xml:space="preserve">5 </w:t>
      </w:r>
      <w:r>
        <w:t>栽植后管理</w:t>
      </w:r>
    </w:p>
    <w:p w:rsidR="00786233" w:rsidRPr="00524370" w:rsidRDefault="00CA0B92" w:rsidP="009E7223">
      <w:pPr>
        <w:pStyle w:val="3"/>
      </w:pPr>
      <w:r w:rsidRPr="00524370">
        <w:rPr>
          <w:rFonts w:hint="eastAsia"/>
          <w:szCs w:val="20"/>
        </w:rPr>
        <w:t>6</w:t>
      </w:r>
      <w:r w:rsidRPr="00524370">
        <w:rPr>
          <w:rFonts w:hint="eastAsia"/>
        </w:rPr>
        <w:t>.</w:t>
      </w:r>
      <w:r w:rsidRPr="00524370">
        <w:rPr>
          <w:rFonts w:hint="eastAsia"/>
          <w:szCs w:val="20"/>
        </w:rPr>
        <w:t>5</w:t>
      </w:r>
      <w:r w:rsidR="009E7223" w:rsidRPr="00524370">
        <w:rPr>
          <w:rFonts w:hint="eastAsia"/>
        </w:rPr>
        <w:t xml:space="preserve">.1 </w:t>
      </w:r>
      <w:r w:rsidRPr="00524370">
        <w:rPr>
          <w:rFonts w:hint="eastAsia"/>
        </w:rPr>
        <w:t>浇水</w:t>
      </w:r>
    </w:p>
    <w:p w:rsidR="00786233" w:rsidRDefault="00CA0B92" w:rsidP="009E7223">
      <w:pPr>
        <w:pStyle w:val="10"/>
        <w:adjustRightInd w:val="0"/>
        <w:snapToGrid w:val="0"/>
        <w:spacing w:line="360" w:lineRule="auto"/>
        <w:rPr>
          <w:color w:val="000000"/>
          <w:szCs w:val="20"/>
        </w:rPr>
      </w:pPr>
      <w:r>
        <w:rPr>
          <w:rFonts w:hint="eastAsia"/>
          <w:color w:val="000000"/>
          <w:szCs w:val="20"/>
        </w:rPr>
        <w:t>栽后踏实并在树苗周围培土埂整修树盘，立即浇透水；一周后浇第二次水，水渗后培土封坑，扶正对齐苗木。</w:t>
      </w:r>
    </w:p>
    <w:p w:rsidR="00786233" w:rsidRDefault="00CA0B92" w:rsidP="009E7223">
      <w:pPr>
        <w:pStyle w:val="3"/>
      </w:pPr>
      <w:r>
        <w:rPr>
          <w:rFonts w:hint="eastAsia"/>
          <w:kern w:val="0"/>
          <w:szCs w:val="20"/>
        </w:rPr>
        <w:t>6</w:t>
      </w:r>
      <w:r>
        <w:rPr>
          <w:rFonts w:hint="eastAsia"/>
        </w:rPr>
        <w:t>.</w:t>
      </w:r>
      <w:r>
        <w:rPr>
          <w:rFonts w:hint="eastAsia"/>
          <w:kern w:val="0"/>
          <w:szCs w:val="20"/>
        </w:rPr>
        <w:t>5</w:t>
      </w:r>
      <w:r w:rsidR="009E7223">
        <w:rPr>
          <w:rFonts w:hint="eastAsia"/>
        </w:rPr>
        <w:t xml:space="preserve">.2 </w:t>
      </w:r>
      <w:r>
        <w:rPr>
          <w:rFonts w:hint="eastAsia"/>
        </w:rPr>
        <w:t>覆膜</w:t>
      </w:r>
    </w:p>
    <w:p w:rsidR="00786233" w:rsidRDefault="00CA0B92" w:rsidP="009E7223">
      <w:pPr>
        <w:pStyle w:val="10"/>
        <w:adjustRightInd w:val="0"/>
        <w:snapToGrid w:val="0"/>
        <w:spacing w:line="360" w:lineRule="auto"/>
        <w:rPr>
          <w:color w:val="000000"/>
          <w:szCs w:val="20"/>
        </w:rPr>
      </w:pPr>
      <w:r>
        <w:rPr>
          <w:rFonts w:hint="eastAsia"/>
          <w:color w:val="000000"/>
          <w:szCs w:val="20"/>
        </w:rPr>
        <w:t>封坑后覆地膜，以树苗为中心直径</w:t>
      </w:r>
      <w:r>
        <w:rPr>
          <w:rFonts w:hint="eastAsia"/>
          <w:szCs w:val="24"/>
        </w:rPr>
        <w:t>或边长</w:t>
      </w:r>
      <w:r>
        <w:rPr>
          <w:rFonts w:hint="eastAsia"/>
          <w:szCs w:val="24"/>
        </w:rPr>
        <w:t>0.8m</w:t>
      </w:r>
      <w:r>
        <w:rPr>
          <w:rFonts w:hint="eastAsia"/>
          <w:color w:val="000000"/>
          <w:szCs w:val="20"/>
        </w:rPr>
        <w:t>～</w:t>
      </w:r>
      <w:r>
        <w:rPr>
          <w:rFonts w:hint="eastAsia"/>
          <w:color w:val="000000"/>
          <w:szCs w:val="20"/>
        </w:rPr>
        <w:t>1</w:t>
      </w:r>
      <w:r>
        <w:rPr>
          <w:rFonts w:hint="eastAsia"/>
          <w:szCs w:val="24"/>
        </w:rPr>
        <w:t>m</w:t>
      </w:r>
      <w:r>
        <w:rPr>
          <w:rFonts w:hint="eastAsia"/>
          <w:szCs w:val="24"/>
        </w:rPr>
        <w:t>，</w:t>
      </w:r>
      <w:r>
        <w:rPr>
          <w:rFonts w:hint="eastAsia"/>
          <w:color w:val="000000"/>
          <w:szCs w:val="20"/>
        </w:rPr>
        <w:t>地膜四周密封压实。</w:t>
      </w:r>
    </w:p>
    <w:p w:rsidR="00786233" w:rsidRDefault="00CA0B92" w:rsidP="009E7223">
      <w:pPr>
        <w:pStyle w:val="3"/>
      </w:pPr>
      <w:r>
        <w:rPr>
          <w:rFonts w:hint="eastAsia"/>
          <w:kern w:val="0"/>
          <w:szCs w:val="20"/>
        </w:rPr>
        <w:t>6</w:t>
      </w:r>
      <w:r>
        <w:rPr>
          <w:rFonts w:hint="eastAsia"/>
        </w:rPr>
        <w:t>.</w:t>
      </w:r>
      <w:r>
        <w:rPr>
          <w:rFonts w:hint="eastAsia"/>
          <w:kern w:val="0"/>
          <w:szCs w:val="20"/>
        </w:rPr>
        <w:t>5</w:t>
      </w:r>
      <w:r w:rsidR="009E7223">
        <w:rPr>
          <w:rFonts w:hint="eastAsia"/>
        </w:rPr>
        <w:t xml:space="preserve">.3 </w:t>
      </w:r>
      <w:r>
        <w:rPr>
          <w:rFonts w:hint="eastAsia"/>
        </w:rPr>
        <w:t>定干及保护</w:t>
      </w:r>
    </w:p>
    <w:p w:rsidR="00786233" w:rsidRDefault="00CA0B92" w:rsidP="009E7223">
      <w:pPr>
        <w:pStyle w:val="10"/>
        <w:adjustRightInd w:val="0"/>
        <w:snapToGrid w:val="0"/>
        <w:spacing w:line="360" w:lineRule="auto"/>
        <w:rPr>
          <w:color w:val="000000"/>
          <w:szCs w:val="20"/>
        </w:rPr>
      </w:pPr>
      <w:r>
        <w:rPr>
          <w:rFonts w:hint="eastAsia"/>
          <w:color w:val="000000"/>
          <w:szCs w:val="20"/>
        </w:rPr>
        <w:t>栽后在饱满芽处及时定干，根据苗木高度一般为</w:t>
      </w:r>
      <w:r>
        <w:rPr>
          <w:rFonts w:hint="eastAsia"/>
          <w:color w:val="000000"/>
          <w:szCs w:val="20"/>
        </w:rPr>
        <w:t>60cm</w:t>
      </w:r>
      <w:r>
        <w:rPr>
          <w:rFonts w:hint="eastAsia"/>
          <w:color w:val="000000"/>
          <w:szCs w:val="20"/>
        </w:rPr>
        <w:t>～</w:t>
      </w:r>
      <w:r>
        <w:rPr>
          <w:rFonts w:hint="eastAsia"/>
          <w:color w:val="000000"/>
          <w:szCs w:val="20"/>
        </w:rPr>
        <w:t>90cm</w:t>
      </w:r>
      <w:r>
        <w:rPr>
          <w:rFonts w:hint="eastAsia"/>
          <w:color w:val="000000"/>
          <w:szCs w:val="20"/>
        </w:rPr>
        <w:t>；定干后全株套上塑料袋，减少枝干失水。当新梢长到</w:t>
      </w:r>
      <w:r>
        <w:rPr>
          <w:rFonts w:hint="eastAsia"/>
          <w:color w:val="000000"/>
          <w:szCs w:val="20"/>
        </w:rPr>
        <w:t>2</w:t>
      </w:r>
      <w:r>
        <w:rPr>
          <w:rFonts w:hint="eastAsia"/>
          <w:color w:val="000000"/>
          <w:szCs w:val="20"/>
        </w:rPr>
        <w:t>～</w:t>
      </w:r>
      <w:r>
        <w:rPr>
          <w:rFonts w:hint="eastAsia"/>
          <w:color w:val="000000"/>
          <w:szCs w:val="20"/>
        </w:rPr>
        <w:t>3cm</w:t>
      </w:r>
      <w:r>
        <w:rPr>
          <w:rFonts w:hint="eastAsia"/>
          <w:color w:val="000000"/>
          <w:szCs w:val="20"/>
        </w:rPr>
        <w:t>时，将保护袋上部解开，</w:t>
      </w:r>
      <w:r>
        <w:rPr>
          <w:rFonts w:hint="eastAsia"/>
          <w:color w:val="000000"/>
          <w:szCs w:val="20"/>
        </w:rPr>
        <w:t>2d</w:t>
      </w:r>
      <w:r>
        <w:rPr>
          <w:rFonts w:hint="eastAsia"/>
          <w:color w:val="000000"/>
          <w:szCs w:val="20"/>
        </w:rPr>
        <w:t>～</w:t>
      </w:r>
      <w:r>
        <w:rPr>
          <w:rFonts w:hint="eastAsia"/>
          <w:color w:val="000000"/>
          <w:szCs w:val="20"/>
        </w:rPr>
        <w:t>3d</w:t>
      </w:r>
      <w:r>
        <w:rPr>
          <w:rFonts w:hint="eastAsia"/>
          <w:color w:val="000000"/>
          <w:szCs w:val="20"/>
        </w:rPr>
        <w:t>后去掉保护袋；秋栽苗木要埋土防寒，春天萌芽前扒土，扶正。</w:t>
      </w:r>
    </w:p>
    <w:p w:rsidR="00786233" w:rsidRDefault="00CA0B92" w:rsidP="009E7223">
      <w:pPr>
        <w:pStyle w:val="3"/>
      </w:pPr>
      <w:r>
        <w:rPr>
          <w:rFonts w:hint="eastAsia"/>
          <w:kern w:val="0"/>
          <w:szCs w:val="20"/>
        </w:rPr>
        <w:t>6</w:t>
      </w:r>
      <w:r>
        <w:rPr>
          <w:rFonts w:hint="eastAsia"/>
        </w:rPr>
        <w:t>.</w:t>
      </w:r>
      <w:r>
        <w:rPr>
          <w:rFonts w:hint="eastAsia"/>
          <w:kern w:val="0"/>
          <w:szCs w:val="20"/>
        </w:rPr>
        <w:t>5</w:t>
      </w:r>
      <w:r w:rsidR="009E7223">
        <w:rPr>
          <w:rFonts w:hint="eastAsia"/>
        </w:rPr>
        <w:t xml:space="preserve">.4 </w:t>
      </w:r>
      <w:r>
        <w:rPr>
          <w:rFonts w:hint="eastAsia"/>
        </w:rPr>
        <w:t>幼树园间作</w:t>
      </w:r>
    </w:p>
    <w:p w:rsidR="00786233" w:rsidRDefault="00CA0B92" w:rsidP="009E7223">
      <w:pPr>
        <w:pStyle w:val="10"/>
        <w:adjustRightInd w:val="0"/>
        <w:snapToGrid w:val="0"/>
        <w:spacing w:line="360" w:lineRule="auto"/>
        <w:rPr>
          <w:color w:val="000000"/>
          <w:szCs w:val="20"/>
        </w:rPr>
      </w:pPr>
      <w:r>
        <w:rPr>
          <w:rFonts w:hint="eastAsia"/>
          <w:color w:val="000000"/>
          <w:szCs w:val="20"/>
        </w:rPr>
        <w:t>栽后</w:t>
      </w:r>
      <w:r>
        <w:rPr>
          <w:rFonts w:hint="eastAsia"/>
          <w:color w:val="000000"/>
          <w:szCs w:val="20"/>
        </w:rPr>
        <w:t>1</w:t>
      </w:r>
      <w:r>
        <w:rPr>
          <w:rFonts w:hint="eastAsia"/>
          <w:color w:val="000000"/>
          <w:szCs w:val="20"/>
        </w:rPr>
        <w:t>年～</w:t>
      </w:r>
      <w:r>
        <w:rPr>
          <w:rFonts w:hint="eastAsia"/>
          <w:color w:val="000000"/>
          <w:szCs w:val="20"/>
        </w:rPr>
        <w:t>3</w:t>
      </w:r>
      <w:r>
        <w:rPr>
          <w:rFonts w:hint="eastAsia"/>
          <w:color w:val="000000"/>
          <w:szCs w:val="20"/>
        </w:rPr>
        <w:t>年内，选择有利于培肥地力、对杏树生长没有不利影响、与杏树没有相同病虫害的浅根性矮秆植物，保证留足</w:t>
      </w:r>
      <w:r>
        <w:rPr>
          <w:rFonts w:hint="eastAsia"/>
          <w:color w:val="000000"/>
          <w:szCs w:val="20"/>
        </w:rPr>
        <w:t>1m</w:t>
      </w:r>
      <w:r>
        <w:rPr>
          <w:rFonts w:hint="eastAsia"/>
          <w:color w:val="000000"/>
          <w:szCs w:val="20"/>
        </w:rPr>
        <w:t>～</w:t>
      </w:r>
      <w:r>
        <w:rPr>
          <w:rFonts w:hint="eastAsia"/>
          <w:color w:val="000000"/>
          <w:szCs w:val="20"/>
        </w:rPr>
        <w:t>1.5m</w:t>
      </w:r>
      <w:r>
        <w:rPr>
          <w:rFonts w:hint="eastAsia"/>
          <w:color w:val="000000"/>
          <w:szCs w:val="20"/>
        </w:rPr>
        <w:t>树盘。平原行间可间作豆类、花生、油葵、西瓜、金银花等低秆作物；山地可间作黄芩、王不留行等中草药及赤松茸等菌类；忌种秋季蔬菜。</w:t>
      </w:r>
    </w:p>
    <w:p w:rsidR="00786233" w:rsidRDefault="009E7223" w:rsidP="009E7223">
      <w:pPr>
        <w:pStyle w:val="1"/>
        <w:rPr>
          <w:rFonts w:hint="default"/>
        </w:rPr>
      </w:pPr>
      <w:r>
        <w:t xml:space="preserve">7 </w:t>
      </w:r>
      <w:r w:rsidR="00CA0B92">
        <w:t>土肥水管理</w:t>
      </w:r>
    </w:p>
    <w:p w:rsidR="00786233" w:rsidRDefault="00CA0B92" w:rsidP="009E7223">
      <w:pPr>
        <w:pStyle w:val="2"/>
        <w:rPr>
          <w:rFonts w:hint="default"/>
        </w:rPr>
      </w:pPr>
      <w:r>
        <w:t>7</w:t>
      </w:r>
      <w:r>
        <w:rPr>
          <w:rFonts w:cs="黑体"/>
        </w:rPr>
        <w:t>.</w:t>
      </w:r>
      <w:r w:rsidR="009E7223">
        <w:t xml:space="preserve">1 </w:t>
      </w:r>
      <w:r>
        <w:t>土壤管理</w:t>
      </w:r>
    </w:p>
    <w:p w:rsidR="00786233" w:rsidRDefault="00CA0B92" w:rsidP="009E7223">
      <w:pPr>
        <w:pStyle w:val="3"/>
      </w:pPr>
      <w:bookmarkStart w:id="4" w:name="_Toc20284"/>
      <w:r>
        <w:rPr>
          <w:rFonts w:hint="eastAsia"/>
        </w:rPr>
        <w:t>7</w:t>
      </w:r>
      <w:r>
        <w:rPr>
          <w:rFonts w:cs="黑体" w:hint="eastAsia"/>
        </w:rPr>
        <w:t>.</w:t>
      </w:r>
      <w:r>
        <w:rPr>
          <w:rFonts w:hint="eastAsia"/>
        </w:rPr>
        <w:t>1</w:t>
      </w:r>
      <w:r>
        <w:rPr>
          <w:rFonts w:cs="黑体" w:hint="eastAsia"/>
        </w:rPr>
        <w:t>.</w:t>
      </w:r>
      <w:r w:rsidR="009E7223">
        <w:rPr>
          <w:rFonts w:hint="eastAsia"/>
        </w:rPr>
        <w:t xml:space="preserve">1 </w:t>
      </w:r>
      <w:r>
        <w:rPr>
          <w:rFonts w:hint="eastAsia"/>
        </w:rPr>
        <w:t>深翻改土</w:t>
      </w:r>
      <w:bookmarkEnd w:id="4"/>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kern w:val="2"/>
        </w:rPr>
      </w:pPr>
      <w:r>
        <w:rPr>
          <w:rFonts w:ascii="Times New Roman" w:hint="eastAsia"/>
          <w:color w:val="000000"/>
          <w:kern w:val="2"/>
        </w:rPr>
        <w:t>结合秋施基肥沿原栽植穴外缘向外挖宽、深各</w:t>
      </w:r>
      <w:r>
        <w:rPr>
          <w:rFonts w:ascii="Times New Roman" w:hint="eastAsia"/>
          <w:color w:val="000000"/>
          <w:kern w:val="2"/>
        </w:rPr>
        <w:t>30cm</w:t>
      </w:r>
      <w:r>
        <w:rPr>
          <w:rFonts w:ascii="Times New Roman" w:hint="eastAsia"/>
          <w:color w:val="000000"/>
          <w:kern w:val="2"/>
        </w:rPr>
        <w:t>～</w:t>
      </w:r>
      <w:r>
        <w:rPr>
          <w:rFonts w:ascii="Times New Roman" w:hint="eastAsia"/>
          <w:color w:val="000000"/>
          <w:kern w:val="2"/>
        </w:rPr>
        <w:t>50cm</w:t>
      </w:r>
      <w:r>
        <w:rPr>
          <w:rFonts w:ascii="Times New Roman" w:hint="eastAsia"/>
          <w:color w:val="000000"/>
          <w:kern w:val="2"/>
        </w:rPr>
        <w:t>的沟，混入有机肥回填后灌水；对质地不良的土壤进行改良，粘土掺沙土、沙土掺粘土和有机肥的混合土。</w:t>
      </w:r>
    </w:p>
    <w:p w:rsidR="00786233" w:rsidRDefault="00CA0B92" w:rsidP="009E7223">
      <w:pPr>
        <w:pStyle w:val="3"/>
      </w:pPr>
      <w:bookmarkStart w:id="5" w:name="_Toc26759"/>
      <w:r>
        <w:rPr>
          <w:rFonts w:hint="eastAsia"/>
        </w:rPr>
        <w:lastRenderedPageBreak/>
        <w:t>7</w:t>
      </w:r>
      <w:r>
        <w:rPr>
          <w:rFonts w:cs="黑体" w:hint="eastAsia"/>
        </w:rPr>
        <w:t>.</w:t>
      </w:r>
      <w:r>
        <w:rPr>
          <w:rFonts w:hint="eastAsia"/>
        </w:rPr>
        <w:t>1</w:t>
      </w:r>
      <w:r>
        <w:rPr>
          <w:rFonts w:cs="黑体" w:hint="eastAsia"/>
        </w:rPr>
        <w:t>.</w:t>
      </w:r>
      <w:r w:rsidR="009E7223">
        <w:rPr>
          <w:rFonts w:hint="eastAsia"/>
        </w:rPr>
        <w:t xml:space="preserve">2 </w:t>
      </w:r>
      <w:r>
        <w:rPr>
          <w:rFonts w:hint="eastAsia"/>
        </w:rPr>
        <w:t>果园耕翻</w:t>
      </w:r>
      <w:bookmarkEnd w:id="5"/>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rPr>
      </w:pPr>
      <w:r>
        <w:rPr>
          <w:rFonts w:ascii="Times New Roman" w:hint="eastAsia"/>
          <w:color w:val="000000"/>
          <w:kern w:val="2"/>
        </w:rPr>
        <w:t>在果实采收后结合秋施基肥进行，耕翻深度为</w:t>
      </w:r>
      <w:r>
        <w:rPr>
          <w:rFonts w:ascii="Times New Roman"/>
          <w:color w:val="000000"/>
          <w:kern w:val="2"/>
        </w:rPr>
        <w:t>20cm</w:t>
      </w:r>
      <w:r>
        <w:rPr>
          <w:rFonts w:ascii="Times New Roman" w:hint="eastAsia"/>
          <w:color w:val="000000"/>
          <w:kern w:val="2"/>
        </w:rPr>
        <w:t>～</w:t>
      </w:r>
      <w:r>
        <w:rPr>
          <w:rFonts w:ascii="Times New Roman"/>
          <w:color w:val="000000"/>
          <w:kern w:val="2"/>
        </w:rPr>
        <w:t>30cm</w:t>
      </w:r>
      <w:r>
        <w:rPr>
          <w:rFonts w:ascii="Times New Roman" w:hint="eastAsia"/>
          <w:color w:val="000000"/>
          <w:kern w:val="2"/>
        </w:rPr>
        <w:t>；</w:t>
      </w:r>
      <w:r>
        <w:rPr>
          <w:rFonts w:ascii="Times New Roman" w:hint="eastAsia"/>
          <w:color w:val="000000"/>
        </w:rPr>
        <w:t>适时清耕，松土保墒，深度</w:t>
      </w:r>
      <w:r>
        <w:rPr>
          <w:rFonts w:ascii="Times New Roman" w:hint="eastAsia"/>
          <w:color w:val="000000"/>
        </w:rPr>
        <w:t>5cm</w:t>
      </w:r>
      <w:r>
        <w:rPr>
          <w:rFonts w:ascii="Times New Roman" w:hint="eastAsia"/>
          <w:color w:val="000000"/>
        </w:rPr>
        <w:t>～</w:t>
      </w:r>
      <w:r>
        <w:rPr>
          <w:rFonts w:ascii="Times New Roman" w:hint="eastAsia"/>
          <w:color w:val="000000"/>
        </w:rPr>
        <w:t>10cm</w:t>
      </w:r>
      <w:r>
        <w:rPr>
          <w:rFonts w:ascii="Times New Roman" w:hint="eastAsia"/>
          <w:color w:val="000000"/>
        </w:rPr>
        <w:t>。</w:t>
      </w:r>
    </w:p>
    <w:p w:rsidR="00786233" w:rsidRDefault="00CA0B92" w:rsidP="009E7223">
      <w:pPr>
        <w:pStyle w:val="3"/>
      </w:pPr>
      <w:bookmarkStart w:id="6" w:name="_Toc7039"/>
      <w:r>
        <w:rPr>
          <w:rFonts w:hint="eastAsia"/>
        </w:rPr>
        <w:t>7</w:t>
      </w:r>
      <w:r>
        <w:rPr>
          <w:rFonts w:cs="黑体" w:hint="eastAsia"/>
        </w:rPr>
        <w:t>.</w:t>
      </w:r>
      <w:r>
        <w:rPr>
          <w:rFonts w:hint="eastAsia"/>
        </w:rPr>
        <w:t>1</w:t>
      </w:r>
      <w:r>
        <w:rPr>
          <w:rFonts w:cs="黑体" w:hint="eastAsia"/>
        </w:rPr>
        <w:t>.</w:t>
      </w:r>
      <w:r w:rsidR="009E7223">
        <w:rPr>
          <w:rFonts w:hint="eastAsia"/>
        </w:rPr>
        <w:t xml:space="preserve">3 </w:t>
      </w:r>
      <w:r>
        <w:rPr>
          <w:rFonts w:hint="eastAsia"/>
        </w:rPr>
        <w:t>树盘覆盖</w:t>
      </w:r>
      <w:bookmarkEnd w:id="6"/>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rPr>
      </w:pPr>
      <w:r>
        <w:rPr>
          <w:rFonts w:ascii="Times New Roman" w:hint="eastAsia"/>
          <w:color w:val="000000"/>
        </w:rPr>
        <w:t>浇水条件差的地方可采用树盘覆盖的方式减少水分蒸发，覆盖物可用透水园艺地布、秸秆、菌渣等。</w:t>
      </w:r>
    </w:p>
    <w:p w:rsidR="00786233" w:rsidRDefault="00CA0B92" w:rsidP="009E7223">
      <w:pPr>
        <w:pStyle w:val="3"/>
      </w:pPr>
      <w:bookmarkStart w:id="7" w:name="_Toc3392"/>
      <w:r>
        <w:rPr>
          <w:rFonts w:hint="eastAsia"/>
        </w:rPr>
        <w:t>7</w:t>
      </w:r>
      <w:r>
        <w:rPr>
          <w:rFonts w:cs="黑体" w:hint="eastAsia"/>
        </w:rPr>
        <w:t>.</w:t>
      </w:r>
      <w:r>
        <w:rPr>
          <w:rFonts w:hint="eastAsia"/>
        </w:rPr>
        <w:t>1</w:t>
      </w:r>
      <w:r>
        <w:rPr>
          <w:rFonts w:cs="黑体" w:hint="eastAsia"/>
        </w:rPr>
        <w:t>.</w:t>
      </w:r>
      <w:r w:rsidR="009E7223">
        <w:rPr>
          <w:rFonts w:hint="eastAsia"/>
        </w:rPr>
        <w:t xml:space="preserve">4 </w:t>
      </w:r>
      <w:r>
        <w:rPr>
          <w:rFonts w:hint="eastAsia"/>
        </w:rPr>
        <w:t>果园生草</w:t>
      </w:r>
      <w:bookmarkEnd w:id="7"/>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rPr>
      </w:pPr>
      <w:r>
        <w:rPr>
          <w:rFonts w:ascii="Times New Roman" w:hint="eastAsia"/>
          <w:color w:val="000000"/>
        </w:rPr>
        <w:t>采取行间自然生草或人工种草，草高超</w:t>
      </w:r>
      <w:r>
        <w:rPr>
          <w:rFonts w:ascii="Times New Roman" w:hint="eastAsia"/>
          <w:color w:val="000000"/>
        </w:rPr>
        <w:t>30cm</w:t>
      </w:r>
      <w:r>
        <w:rPr>
          <w:rFonts w:ascii="Times New Roman" w:hint="eastAsia"/>
          <w:color w:val="000000"/>
        </w:rPr>
        <w:t>时进行刈割。</w:t>
      </w:r>
    </w:p>
    <w:p w:rsidR="00786233" w:rsidRPr="009E7223" w:rsidRDefault="009E7223" w:rsidP="009E7223">
      <w:pPr>
        <w:pStyle w:val="2"/>
        <w:rPr>
          <w:rFonts w:hint="default"/>
        </w:rPr>
      </w:pPr>
      <w:r>
        <w:t xml:space="preserve">7.2 </w:t>
      </w:r>
      <w:r w:rsidR="00CA0B92">
        <w:t>养分管理</w:t>
      </w:r>
    </w:p>
    <w:p w:rsidR="00786233" w:rsidRPr="009E7223" w:rsidRDefault="009E7223" w:rsidP="009E7223">
      <w:pPr>
        <w:pStyle w:val="3"/>
      </w:pPr>
      <w:r>
        <w:rPr>
          <w:rFonts w:hint="eastAsia"/>
        </w:rPr>
        <w:t xml:space="preserve">7.2.1 </w:t>
      </w:r>
      <w:r w:rsidR="00CA0B92">
        <w:rPr>
          <w:rFonts w:hint="eastAsia"/>
        </w:rPr>
        <w:t>基本原则</w:t>
      </w:r>
    </w:p>
    <w:p w:rsidR="00786233" w:rsidRDefault="00CA0B92" w:rsidP="009E7223">
      <w:pPr>
        <w:pStyle w:val="10"/>
        <w:adjustRightInd w:val="0"/>
        <w:snapToGrid w:val="0"/>
        <w:spacing w:line="360" w:lineRule="auto"/>
        <w:rPr>
          <w:rFonts w:asciiTheme="minorEastAsia" w:eastAsiaTheme="minorEastAsia" w:hAnsiTheme="minorEastAsia"/>
          <w:color w:val="000000"/>
          <w:szCs w:val="20"/>
        </w:rPr>
      </w:pPr>
      <w:r>
        <w:rPr>
          <w:rFonts w:asciiTheme="minorEastAsia" w:eastAsiaTheme="minorEastAsia" w:hAnsiTheme="minorEastAsia" w:hint="eastAsia"/>
          <w:color w:val="000000"/>
          <w:szCs w:val="20"/>
        </w:rPr>
        <w:t>肥料施用应符合NY/T 394的规定。</w:t>
      </w:r>
    </w:p>
    <w:p w:rsidR="00786233" w:rsidRDefault="009E7223" w:rsidP="009E7223">
      <w:pPr>
        <w:pStyle w:val="3"/>
      </w:pPr>
      <w:r>
        <w:rPr>
          <w:rFonts w:hint="eastAsia"/>
        </w:rPr>
        <w:t xml:space="preserve">7.2.2 </w:t>
      </w:r>
      <w:r w:rsidR="00CA0B92">
        <w:rPr>
          <w:rFonts w:hint="eastAsia"/>
        </w:rPr>
        <w:t>幼树施肥</w:t>
      </w:r>
    </w:p>
    <w:p w:rsidR="00786233" w:rsidRDefault="00CA0B92" w:rsidP="009E7223">
      <w:pPr>
        <w:pStyle w:val="10"/>
        <w:adjustRightInd w:val="0"/>
        <w:snapToGrid w:val="0"/>
        <w:spacing w:line="360" w:lineRule="auto"/>
        <w:rPr>
          <w:rFonts w:asciiTheme="minorEastAsia" w:eastAsiaTheme="minorEastAsia" w:hAnsiTheme="minorEastAsia" w:cs="宋体"/>
        </w:rPr>
      </w:pPr>
      <w:r>
        <w:rPr>
          <w:rFonts w:hint="eastAsia"/>
          <w:szCs w:val="24"/>
        </w:rPr>
        <w:t>秋施基肥以有机肥为主，配合少量复合肥，</w:t>
      </w:r>
      <w:r>
        <w:rPr>
          <w:rFonts w:hint="eastAsia"/>
        </w:rPr>
        <w:t>每株施</w:t>
      </w:r>
      <w:r>
        <w:rPr>
          <w:rFonts w:hint="eastAsia"/>
        </w:rPr>
        <w:t>10</w:t>
      </w:r>
      <w:r>
        <w:rPr>
          <w:rFonts w:hint="eastAsia"/>
          <w:color w:val="000000"/>
        </w:rPr>
        <w:t>kg</w:t>
      </w:r>
      <w:r>
        <w:rPr>
          <w:rFonts w:hint="eastAsia"/>
        </w:rPr>
        <w:t>～</w:t>
      </w:r>
      <w:r>
        <w:rPr>
          <w:rFonts w:hint="eastAsia"/>
        </w:rPr>
        <w:t>20</w:t>
      </w:r>
      <w:r>
        <w:rPr>
          <w:rFonts w:hint="eastAsia"/>
          <w:color w:val="000000"/>
        </w:rPr>
        <w:t>kg</w:t>
      </w:r>
      <w:r>
        <w:rPr>
          <w:rFonts w:hint="eastAsia"/>
        </w:rPr>
        <w:t>腐熟的农家肥或</w:t>
      </w:r>
      <w:r>
        <w:rPr>
          <w:rFonts w:hint="eastAsia"/>
        </w:rPr>
        <w:t>1kg</w:t>
      </w:r>
      <w:r>
        <w:rPr>
          <w:rFonts w:hint="eastAsia"/>
        </w:rPr>
        <w:t>～</w:t>
      </w:r>
      <w:r>
        <w:rPr>
          <w:rFonts w:hint="eastAsia"/>
        </w:rPr>
        <w:t>2kg</w:t>
      </w:r>
      <w:r>
        <w:rPr>
          <w:rFonts w:hint="eastAsia"/>
        </w:rPr>
        <w:t>商品有机肥，可采用沟施、撒施；地下追肥于新梢生长前（</w:t>
      </w:r>
      <w:r>
        <w:rPr>
          <w:rFonts w:hint="eastAsia"/>
        </w:rPr>
        <w:t>3</w:t>
      </w:r>
      <w:r>
        <w:rPr>
          <w:rFonts w:hint="eastAsia"/>
        </w:rPr>
        <w:t>月份）至</w:t>
      </w:r>
      <w:r>
        <w:rPr>
          <w:rFonts w:hint="eastAsia"/>
          <w:szCs w:val="24"/>
        </w:rPr>
        <w:t>旺盛生长期（</w:t>
      </w:r>
      <w:r>
        <w:rPr>
          <w:rFonts w:hint="eastAsia"/>
          <w:szCs w:val="24"/>
        </w:rPr>
        <w:t>5</w:t>
      </w:r>
      <w:r>
        <w:rPr>
          <w:rFonts w:hint="eastAsia"/>
          <w:szCs w:val="24"/>
        </w:rPr>
        <w:t>月份）进行，以氮肥为主，后期氮、磷、钾配合使用，每次每株</w:t>
      </w:r>
      <w:r>
        <w:rPr>
          <w:rFonts w:hint="eastAsia"/>
          <w:szCs w:val="24"/>
        </w:rPr>
        <w:t>50</w:t>
      </w:r>
      <w:r>
        <w:rPr>
          <w:rFonts w:hint="eastAsia"/>
          <w:color w:val="000000"/>
          <w:szCs w:val="20"/>
        </w:rPr>
        <w:t>g</w:t>
      </w:r>
      <w:r>
        <w:rPr>
          <w:rFonts w:hint="eastAsia"/>
          <w:szCs w:val="24"/>
        </w:rPr>
        <w:t>～</w:t>
      </w:r>
      <w:r>
        <w:rPr>
          <w:rFonts w:hint="eastAsia"/>
          <w:szCs w:val="24"/>
        </w:rPr>
        <w:t>100</w:t>
      </w:r>
      <w:r>
        <w:rPr>
          <w:rFonts w:hint="eastAsia"/>
          <w:color w:val="000000"/>
          <w:szCs w:val="20"/>
        </w:rPr>
        <w:t>g</w:t>
      </w:r>
      <w:r>
        <w:rPr>
          <w:rFonts w:hint="eastAsia"/>
          <w:szCs w:val="24"/>
        </w:rPr>
        <w:t>，可采用穴施、沟施和微灌施；叶面喷肥</w:t>
      </w:r>
      <w:r>
        <w:rPr>
          <w:rFonts w:hint="eastAsia"/>
        </w:rPr>
        <w:t>适宜</w:t>
      </w:r>
      <w:r>
        <w:rPr>
          <w:rFonts w:hint="eastAsia"/>
          <w:szCs w:val="24"/>
        </w:rPr>
        <w:t>缺水季节或地区，但不能代替土壤施肥。</w:t>
      </w:r>
    </w:p>
    <w:p w:rsidR="00786233" w:rsidRDefault="009E7223" w:rsidP="009E7223">
      <w:pPr>
        <w:pStyle w:val="3"/>
      </w:pPr>
      <w:r>
        <w:rPr>
          <w:rFonts w:hint="eastAsia"/>
        </w:rPr>
        <w:t xml:space="preserve">7.2.3 </w:t>
      </w:r>
      <w:r w:rsidR="00CA0B92">
        <w:rPr>
          <w:rFonts w:hint="eastAsia"/>
        </w:rPr>
        <w:t>成龄树施肥</w:t>
      </w:r>
    </w:p>
    <w:p w:rsidR="00786233" w:rsidRPr="009E7223" w:rsidRDefault="009E7223" w:rsidP="009E7223">
      <w:pPr>
        <w:pStyle w:val="4"/>
      </w:pPr>
      <w:r>
        <w:rPr>
          <w:rFonts w:hint="eastAsia"/>
        </w:rPr>
        <w:t xml:space="preserve">7.2.3.1 </w:t>
      </w:r>
      <w:r w:rsidR="00CA0B92">
        <w:rPr>
          <w:rFonts w:hint="eastAsia"/>
        </w:rPr>
        <w:t>基肥</w:t>
      </w:r>
    </w:p>
    <w:p w:rsidR="00786233" w:rsidRDefault="00CA0B92" w:rsidP="009E7223">
      <w:pPr>
        <w:pStyle w:val="aa"/>
        <w:tabs>
          <w:tab w:val="center" w:pos="4201"/>
          <w:tab w:val="right" w:leader="dot" w:pos="9298"/>
        </w:tabs>
        <w:adjustRightInd w:val="0"/>
        <w:snapToGrid w:val="0"/>
        <w:spacing w:line="360" w:lineRule="auto"/>
        <w:ind w:firstLine="420"/>
        <w:rPr>
          <w:rFonts w:ascii="Times New Roman"/>
          <w:color w:val="000000"/>
        </w:rPr>
      </w:pPr>
      <w:r>
        <w:rPr>
          <w:rFonts w:ascii="Times New Roman" w:hint="eastAsia"/>
          <w:color w:val="000000"/>
        </w:rPr>
        <w:t>在</w:t>
      </w:r>
      <w:r>
        <w:rPr>
          <w:rFonts w:ascii="Times New Roman" w:hint="eastAsia"/>
          <w:color w:val="000000"/>
        </w:rPr>
        <w:t>8</w:t>
      </w:r>
      <w:r>
        <w:rPr>
          <w:rFonts w:ascii="Times New Roman" w:hint="eastAsia"/>
          <w:color w:val="000000"/>
        </w:rPr>
        <w:t>月下旬至</w:t>
      </w:r>
      <w:r>
        <w:rPr>
          <w:rFonts w:ascii="Times New Roman" w:hint="eastAsia"/>
          <w:color w:val="000000"/>
        </w:rPr>
        <w:t>10</w:t>
      </w:r>
      <w:r>
        <w:rPr>
          <w:rFonts w:ascii="Times New Roman" w:hint="eastAsia"/>
          <w:color w:val="000000"/>
        </w:rPr>
        <w:t>月中旬施基肥，采用环状沟施、放射状沟施或全园撒施法，</w:t>
      </w:r>
      <w:r>
        <w:rPr>
          <w:rFonts w:ascii="Times New Roman" w:hint="eastAsia"/>
          <w:color w:val="000000"/>
          <w:szCs w:val="21"/>
        </w:rPr>
        <w:t>每株施</w:t>
      </w:r>
      <w:r>
        <w:rPr>
          <w:rFonts w:ascii="Times New Roman" w:hint="eastAsia"/>
          <w:color w:val="000000"/>
          <w:szCs w:val="21"/>
        </w:rPr>
        <w:t>35kg</w:t>
      </w:r>
      <w:r>
        <w:rPr>
          <w:rFonts w:ascii="Times New Roman" w:hint="eastAsia"/>
          <w:color w:val="000000"/>
          <w:szCs w:val="21"/>
        </w:rPr>
        <w:t>～</w:t>
      </w:r>
      <w:r>
        <w:rPr>
          <w:rFonts w:ascii="Times New Roman" w:hint="eastAsia"/>
          <w:color w:val="000000"/>
          <w:szCs w:val="21"/>
        </w:rPr>
        <w:t>60kg</w:t>
      </w:r>
      <w:r>
        <w:rPr>
          <w:rFonts w:hint="eastAsia"/>
          <w:szCs w:val="21"/>
        </w:rPr>
        <w:t>腐熟的农家</w:t>
      </w:r>
      <w:r>
        <w:rPr>
          <w:rFonts w:ascii="Times New Roman" w:hint="eastAsia"/>
          <w:color w:val="000000"/>
        </w:rPr>
        <w:t>肥或</w:t>
      </w:r>
      <w:r>
        <w:rPr>
          <w:rFonts w:ascii="Times New Roman" w:hint="eastAsia"/>
          <w:color w:val="000000"/>
        </w:rPr>
        <w:t>3.5kg</w:t>
      </w:r>
      <w:r>
        <w:rPr>
          <w:rFonts w:ascii="Times New Roman" w:hint="eastAsia"/>
          <w:color w:val="000000"/>
        </w:rPr>
        <w:t>～</w:t>
      </w:r>
      <w:r>
        <w:rPr>
          <w:rFonts w:ascii="Times New Roman" w:hint="eastAsia"/>
          <w:color w:val="000000"/>
        </w:rPr>
        <w:t>6.0kg</w:t>
      </w:r>
      <w:r>
        <w:rPr>
          <w:rFonts w:ascii="Times New Roman" w:hint="eastAsia"/>
          <w:color w:val="000000"/>
        </w:rPr>
        <w:t>商品有</w:t>
      </w:r>
      <w:r>
        <w:rPr>
          <w:rFonts w:hint="eastAsia"/>
          <w:szCs w:val="21"/>
        </w:rPr>
        <w:t>机肥</w:t>
      </w:r>
      <w:r>
        <w:rPr>
          <w:rFonts w:ascii="Times New Roman" w:hint="eastAsia"/>
          <w:color w:val="000000"/>
        </w:rPr>
        <w:t>、</w:t>
      </w:r>
      <w:r>
        <w:rPr>
          <w:rFonts w:ascii="Times New Roman" w:hint="eastAsia"/>
          <w:color w:val="000000"/>
        </w:rPr>
        <w:t>0.03 kg</w:t>
      </w:r>
      <w:r>
        <w:rPr>
          <w:rFonts w:ascii="Times New Roman" w:hint="eastAsia"/>
          <w:color w:val="000000"/>
        </w:rPr>
        <w:t>～</w:t>
      </w:r>
      <w:r>
        <w:rPr>
          <w:rFonts w:ascii="Times New Roman" w:hint="eastAsia"/>
          <w:color w:val="000000"/>
        </w:rPr>
        <w:t>0.05kg</w:t>
      </w:r>
      <w:r>
        <w:rPr>
          <w:rFonts w:ascii="Times New Roman" w:hint="eastAsia"/>
          <w:color w:val="000000"/>
        </w:rPr>
        <w:t>硼肥、</w:t>
      </w:r>
      <w:r>
        <w:rPr>
          <w:rFonts w:ascii="Times New Roman" w:hint="eastAsia"/>
          <w:color w:val="000000"/>
        </w:rPr>
        <w:t>1kg</w:t>
      </w:r>
      <w:r>
        <w:rPr>
          <w:rFonts w:ascii="Times New Roman" w:hint="eastAsia"/>
          <w:color w:val="000000"/>
        </w:rPr>
        <w:t>～</w:t>
      </w:r>
      <w:r>
        <w:rPr>
          <w:rFonts w:ascii="Times New Roman" w:hint="eastAsia"/>
          <w:color w:val="000000"/>
        </w:rPr>
        <w:t>2kg</w:t>
      </w:r>
      <w:r>
        <w:rPr>
          <w:rFonts w:ascii="Times New Roman" w:hint="eastAsia"/>
          <w:color w:val="000000"/>
        </w:rPr>
        <w:t>磷酸二铵。</w:t>
      </w:r>
    </w:p>
    <w:p w:rsidR="00786233" w:rsidRPr="009E7223" w:rsidRDefault="009E7223" w:rsidP="009E7223">
      <w:pPr>
        <w:pStyle w:val="4"/>
      </w:pPr>
      <w:r>
        <w:rPr>
          <w:rFonts w:hint="eastAsia"/>
        </w:rPr>
        <w:t xml:space="preserve">7.2.3.2 </w:t>
      </w:r>
      <w:r w:rsidR="00CA0B92">
        <w:rPr>
          <w:rFonts w:hint="eastAsia"/>
        </w:rPr>
        <w:t>土壤追肥</w:t>
      </w:r>
    </w:p>
    <w:p w:rsidR="00786233" w:rsidRDefault="00CA0B92" w:rsidP="009E7223">
      <w:pPr>
        <w:pStyle w:val="aa"/>
        <w:tabs>
          <w:tab w:val="center" w:pos="4201"/>
          <w:tab w:val="right" w:leader="dot" w:pos="9298"/>
        </w:tabs>
        <w:adjustRightInd w:val="0"/>
        <w:snapToGrid w:val="0"/>
        <w:spacing w:line="360" w:lineRule="auto"/>
        <w:ind w:firstLine="420"/>
        <w:rPr>
          <w:rFonts w:ascii="Times New Roman"/>
          <w:kern w:val="2"/>
          <w:szCs w:val="24"/>
        </w:rPr>
      </w:pPr>
      <w:r>
        <w:rPr>
          <w:rFonts w:ascii="Times New Roman" w:hint="eastAsia"/>
          <w:kern w:val="2"/>
          <w:szCs w:val="24"/>
        </w:rPr>
        <w:t>以树干为中心，在树冠投影的边缘处挖</w:t>
      </w:r>
      <w:r>
        <w:rPr>
          <w:rFonts w:ascii="Times New Roman" w:hint="eastAsia"/>
          <w:kern w:val="2"/>
          <w:szCs w:val="24"/>
        </w:rPr>
        <w:t>8</w:t>
      </w:r>
      <w:r>
        <w:rPr>
          <w:rFonts w:ascii="Times New Roman" w:hint="eastAsia"/>
          <w:kern w:val="2"/>
          <w:szCs w:val="24"/>
        </w:rPr>
        <w:t>个～</w:t>
      </w:r>
      <w:r>
        <w:rPr>
          <w:rFonts w:ascii="Times New Roman" w:hint="eastAsia"/>
          <w:kern w:val="2"/>
          <w:szCs w:val="24"/>
        </w:rPr>
        <w:t>15</w:t>
      </w:r>
      <w:r>
        <w:rPr>
          <w:rFonts w:ascii="Times New Roman" w:hint="eastAsia"/>
          <w:kern w:val="2"/>
          <w:szCs w:val="24"/>
        </w:rPr>
        <w:t>个深、宽各</w:t>
      </w:r>
      <w:r>
        <w:rPr>
          <w:rFonts w:ascii="Times New Roman" w:hint="eastAsia"/>
          <w:kern w:val="2"/>
          <w:szCs w:val="24"/>
        </w:rPr>
        <w:t>20</w:t>
      </w:r>
      <w:r>
        <w:rPr>
          <w:rFonts w:ascii="Times New Roman" w:hint="eastAsia"/>
          <w:kern w:val="2"/>
          <w:szCs w:val="24"/>
        </w:rPr>
        <w:t>～</w:t>
      </w:r>
      <w:r>
        <w:rPr>
          <w:rFonts w:ascii="Times New Roman" w:hint="eastAsia"/>
          <w:kern w:val="2"/>
          <w:szCs w:val="24"/>
        </w:rPr>
        <w:t>30cm</w:t>
      </w:r>
      <w:r>
        <w:rPr>
          <w:rFonts w:ascii="Times New Roman" w:hint="eastAsia"/>
          <w:kern w:val="2"/>
          <w:szCs w:val="24"/>
        </w:rPr>
        <w:t>均匀分布的小穴，将肥料与土混匀后填入穴内，规模化杏园提倡微灌追肥。追肥时期为花前、幼果膨大及果实采收后。花前肥每株追施尿素</w:t>
      </w:r>
      <w:r>
        <w:rPr>
          <w:rFonts w:ascii="Times New Roman" w:hint="eastAsia"/>
          <w:kern w:val="2"/>
          <w:szCs w:val="24"/>
        </w:rPr>
        <w:t>0.3kg</w:t>
      </w:r>
      <w:r>
        <w:rPr>
          <w:rFonts w:ascii="Times New Roman" w:hint="eastAsia"/>
          <w:kern w:val="2"/>
          <w:szCs w:val="24"/>
        </w:rPr>
        <w:t>～</w:t>
      </w:r>
      <w:r>
        <w:rPr>
          <w:rFonts w:ascii="Times New Roman" w:hint="eastAsia"/>
          <w:kern w:val="2"/>
          <w:szCs w:val="24"/>
        </w:rPr>
        <w:t>0.5kg</w:t>
      </w:r>
      <w:r>
        <w:rPr>
          <w:rFonts w:ascii="Times New Roman" w:hint="eastAsia"/>
          <w:kern w:val="2"/>
          <w:szCs w:val="24"/>
        </w:rPr>
        <w:t>；果实膨大肥以速效钾肥为主，配合氮肥，每株施硫酸钾</w:t>
      </w:r>
      <w:r>
        <w:rPr>
          <w:rFonts w:ascii="Times New Roman" w:hint="eastAsia"/>
          <w:kern w:val="2"/>
          <w:szCs w:val="24"/>
        </w:rPr>
        <w:t>0.5kg</w:t>
      </w:r>
      <w:r>
        <w:rPr>
          <w:rFonts w:ascii="Times New Roman" w:hint="eastAsia"/>
          <w:kern w:val="2"/>
          <w:szCs w:val="24"/>
        </w:rPr>
        <w:t>～</w:t>
      </w:r>
      <w:r>
        <w:rPr>
          <w:rFonts w:ascii="Times New Roman" w:hint="eastAsia"/>
          <w:kern w:val="2"/>
          <w:szCs w:val="24"/>
        </w:rPr>
        <w:t>0.6kg</w:t>
      </w:r>
      <w:r>
        <w:rPr>
          <w:rFonts w:ascii="Times New Roman" w:hint="eastAsia"/>
          <w:kern w:val="2"/>
          <w:szCs w:val="24"/>
        </w:rPr>
        <w:t>，尿素</w:t>
      </w:r>
      <w:r>
        <w:rPr>
          <w:rFonts w:ascii="Times New Roman" w:hint="eastAsia"/>
          <w:kern w:val="2"/>
          <w:szCs w:val="24"/>
        </w:rPr>
        <w:t>0.1kg</w:t>
      </w:r>
      <w:r>
        <w:rPr>
          <w:rFonts w:ascii="Times New Roman" w:hint="eastAsia"/>
          <w:kern w:val="2"/>
          <w:szCs w:val="24"/>
        </w:rPr>
        <w:t>～</w:t>
      </w:r>
      <w:r>
        <w:rPr>
          <w:rFonts w:ascii="Times New Roman" w:hint="eastAsia"/>
          <w:kern w:val="2"/>
          <w:szCs w:val="24"/>
        </w:rPr>
        <w:t>0.2kg</w:t>
      </w:r>
      <w:r>
        <w:rPr>
          <w:rFonts w:ascii="Times New Roman" w:hint="eastAsia"/>
          <w:kern w:val="2"/>
          <w:szCs w:val="24"/>
        </w:rPr>
        <w:t>；采果后每株施三元复合肥</w:t>
      </w:r>
      <w:r>
        <w:rPr>
          <w:rFonts w:ascii="Times New Roman" w:hint="eastAsia"/>
          <w:kern w:val="2"/>
          <w:szCs w:val="24"/>
        </w:rPr>
        <w:t>0.5kg</w:t>
      </w:r>
      <w:r>
        <w:rPr>
          <w:rFonts w:ascii="Times New Roman" w:hint="eastAsia"/>
          <w:kern w:val="2"/>
          <w:szCs w:val="24"/>
        </w:rPr>
        <w:t>～</w:t>
      </w:r>
      <w:r>
        <w:rPr>
          <w:rFonts w:ascii="Times New Roman" w:hint="eastAsia"/>
          <w:kern w:val="2"/>
          <w:szCs w:val="24"/>
        </w:rPr>
        <w:t>1.5kg</w:t>
      </w:r>
      <w:r>
        <w:rPr>
          <w:rFonts w:ascii="Times New Roman" w:hint="eastAsia"/>
          <w:kern w:val="2"/>
          <w:szCs w:val="24"/>
        </w:rPr>
        <w:t>。</w:t>
      </w:r>
    </w:p>
    <w:p w:rsidR="00786233" w:rsidRDefault="00CA0B92" w:rsidP="009E7223">
      <w:pPr>
        <w:pStyle w:val="4"/>
      </w:pPr>
      <w:r>
        <w:rPr>
          <w:rFonts w:hint="eastAsia"/>
        </w:rPr>
        <w:t>7.2.3.3  叶面追肥</w:t>
      </w:r>
    </w:p>
    <w:p w:rsidR="00786233" w:rsidRDefault="00CA0B92" w:rsidP="009E7223">
      <w:pPr>
        <w:pStyle w:val="10"/>
        <w:adjustRightInd w:val="0"/>
        <w:snapToGrid w:val="0"/>
        <w:spacing w:line="360" w:lineRule="auto"/>
        <w:rPr>
          <w:color w:val="000000"/>
          <w:szCs w:val="20"/>
        </w:rPr>
      </w:pPr>
      <w:r>
        <w:rPr>
          <w:rFonts w:hint="eastAsia"/>
          <w:color w:val="000000"/>
          <w:szCs w:val="20"/>
        </w:rPr>
        <w:t>花期喷</w:t>
      </w:r>
      <w:r>
        <w:rPr>
          <w:rFonts w:hint="eastAsia"/>
          <w:color w:val="000000"/>
          <w:szCs w:val="20"/>
        </w:rPr>
        <w:t>0.1</w:t>
      </w:r>
      <w:r>
        <w:rPr>
          <w:rFonts w:hint="eastAsia"/>
          <w:color w:val="000000"/>
          <w:szCs w:val="20"/>
        </w:rPr>
        <w:t>～</w:t>
      </w:r>
      <w:r>
        <w:rPr>
          <w:rFonts w:hint="eastAsia"/>
          <w:color w:val="000000"/>
          <w:szCs w:val="20"/>
        </w:rPr>
        <w:t>0.3%</w:t>
      </w:r>
      <w:r>
        <w:rPr>
          <w:rFonts w:hint="eastAsia"/>
          <w:color w:val="000000"/>
          <w:szCs w:val="20"/>
        </w:rPr>
        <w:t>硼砂加</w:t>
      </w:r>
      <w:r>
        <w:rPr>
          <w:rFonts w:hint="eastAsia"/>
          <w:color w:val="000000"/>
          <w:szCs w:val="20"/>
        </w:rPr>
        <w:t>0.3%</w:t>
      </w:r>
      <w:r>
        <w:rPr>
          <w:rFonts w:hint="eastAsia"/>
          <w:color w:val="000000"/>
          <w:szCs w:val="20"/>
        </w:rPr>
        <w:t>尿素混合液，花后喷</w:t>
      </w:r>
      <w:r>
        <w:rPr>
          <w:rFonts w:hint="eastAsia"/>
          <w:color w:val="000000"/>
          <w:szCs w:val="20"/>
        </w:rPr>
        <w:t>0.3%</w:t>
      </w:r>
      <w:r>
        <w:rPr>
          <w:rFonts w:hint="eastAsia"/>
          <w:color w:val="000000"/>
          <w:szCs w:val="20"/>
        </w:rPr>
        <w:t>尿素加</w:t>
      </w:r>
      <w:r>
        <w:rPr>
          <w:rFonts w:hint="eastAsia"/>
          <w:color w:val="000000"/>
          <w:szCs w:val="20"/>
        </w:rPr>
        <w:t>0.3%</w:t>
      </w:r>
      <w:r>
        <w:rPr>
          <w:rFonts w:hint="eastAsia"/>
          <w:color w:val="000000"/>
          <w:szCs w:val="20"/>
        </w:rPr>
        <w:t>磷酸二氢钾，果实膨大期喷</w:t>
      </w:r>
      <w:r>
        <w:rPr>
          <w:rFonts w:hint="eastAsia"/>
          <w:color w:val="000000"/>
          <w:szCs w:val="20"/>
        </w:rPr>
        <w:t>0.3%</w:t>
      </w:r>
      <w:r>
        <w:rPr>
          <w:rFonts w:hint="eastAsia"/>
          <w:color w:val="000000"/>
          <w:szCs w:val="20"/>
        </w:rPr>
        <w:t>～</w:t>
      </w:r>
      <w:r>
        <w:rPr>
          <w:rFonts w:hint="eastAsia"/>
          <w:color w:val="000000"/>
          <w:szCs w:val="20"/>
        </w:rPr>
        <w:t>0.4%</w:t>
      </w:r>
      <w:r>
        <w:rPr>
          <w:rFonts w:hint="eastAsia"/>
          <w:color w:val="000000"/>
          <w:szCs w:val="20"/>
        </w:rPr>
        <w:t>的磷酸二氢钾，花芽分化期每隔半月喷</w:t>
      </w:r>
      <w:r>
        <w:rPr>
          <w:rFonts w:hint="eastAsia"/>
          <w:color w:val="000000"/>
          <w:szCs w:val="20"/>
        </w:rPr>
        <w:t>1</w:t>
      </w:r>
      <w:r>
        <w:rPr>
          <w:rFonts w:hint="eastAsia"/>
          <w:color w:val="000000"/>
          <w:szCs w:val="20"/>
        </w:rPr>
        <w:t>次</w:t>
      </w:r>
      <w:r>
        <w:rPr>
          <w:rFonts w:hint="eastAsia"/>
          <w:color w:val="000000"/>
          <w:szCs w:val="20"/>
        </w:rPr>
        <w:t>0.2%</w:t>
      </w:r>
      <w:r>
        <w:rPr>
          <w:rFonts w:hint="eastAsia"/>
          <w:color w:val="000000"/>
          <w:szCs w:val="20"/>
        </w:rPr>
        <w:t>～</w:t>
      </w:r>
      <w:r>
        <w:rPr>
          <w:rFonts w:hint="eastAsia"/>
          <w:color w:val="000000"/>
          <w:szCs w:val="20"/>
        </w:rPr>
        <w:t>0.4%</w:t>
      </w:r>
      <w:r>
        <w:rPr>
          <w:rFonts w:hint="eastAsia"/>
          <w:color w:val="000000"/>
          <w:szCs w:val="20"/>
        </w:rPr>
        <w:t>磷酸二氢钾，可结合病虫害药剂防控进行。</w:t>
      </w:r>
    </w:p>
    <w:p w:rsidR="00786233" w:rsidRDefault="00CA0B92" w:rsidP="009E7223">
      <w:pPr>
        <w:pStyle w:val="2"/>
        <w:rPr>
          <w:rFonts w:hint="default"/>
        </w:rPr>
      </w:pPr>
      <w:r>
        <w:t>7.3  水分管理</w:t>
      </w:r>
    </w:p>
    <w:p w:rsidR="00786233" w:rsidRDefault="00CA0B92" w:rsidP="009E7223">
      <w:pPr>
        <w:pStyle w:val="3"/>
      </w:pPr>
      <w:r>
        <w:rPr>
          <w:rFonts w:hint="eastAsia"/>
        </w:rPr>
        <w:t>7.3.1 幼树灌溉</w:t>
      </w:r>
    </w:p>
    <w:p w:rsidR="00786233" w:rsidRDefault="00CA0B92" w:rsidP="009E7223">
      <w:pPr>
        <w:pStyle w:val="10"/>
        <w:adjustRightInd w:val="0"/>
        <w:snapToGrid w:val="0"/>
        <w:spacing w:line="360" w:lineRule="auto"/>
        <w:rPr>
          <w:szCs w:val="28"/>
        </w:rPr>
      </w:pPr>
      <w:r>
        <w:rPr>
          <w:rFonts w:hint="eastAsia"/>
          <w:szCs w:val="28"/>
        </w:rPr>
        <w:t>从萌芽前至</w:t>
      </w:r>
      <w:r>
        <w:rPr>
          <w:rFonts w:hint="eastAsia"/>
          <w:szCs w:val="28"/>
        </w:rPr>
        <w:t>8</w:t>
      </w:r>
      <w:r>
        <w:rPr>
          <w:rFonts w:hint="eastAsia"/>
          <w:szCs w:val="28"/>
        </w:rPr>
        <w:t>月要满足水分的供应，追肥后要及时灌溉，</w:t>
      </w:r>
      <w:r>
        <w:rPr>
          <w:rFonts w:hint="eastAsia"/>
          <w:szCs w:val="28"/>
        </w:rPr>
        <w:t>9</w:t>
      </w:r>
      <w:r>
        <w:rPr>
          <w:rFonts w:hint="eastAsia"/>
          <w:szCs w:val="28"/>
        </w:rPr>
        <w:t>至</w:t>
      </w:r>
      <w:r>
        <w:rPr>
          <w:rFonts w:hint="eastAsia"/>
          <w:szCs w:val="28"/>
        </w:rPr>
        <w:t>10</w:t>
      </w:r>
      <w:r>
        <w:rPr>
          <w:rFonts w:hint="eastAsia"/>
          <w:szCs w:val="28"/>
        </w:rPr>
        <w:t>月适当控制灌水；畦灌杏园亩灌水量</w:t>
      </w:r>
      <w:r>
        <w:rPr>
          <w:rFonts w:hint="eastAsia"/>
          <w:szCs w:val="28"/>
        </w:rPr>
        <w:t>30</w:t>
      </w:r>
      <w:r>
        <w:rPr>
          <w:rFonts w:hint="eastAsia"/>
          <w:color w:val="000000"/>
          <w:szCs w:val="20"/>
        </w:rPr>
        <w:t>m</w:t>
      </w:r>
      <w:r>
        <w:rPr>
          <w:rFonts w:hint="eastAsia"/>
          <w:color w:val="000000"/>
          <w:szCs w:val="20"/>
          <w:vertAlign w:val="superscript"/>
        </w:rPr>
        <w:t>3</w:t>
      </w:r>
      <w:r>
        <w:rPr>
          <w:rFonts w:hint="eastAsia"/>
          <w:szCs w:val="28"/>
        </w:rPr>
        <w:t>～</w:t>
      </w:r>
      <w:r>
        <w:rPr>
          <w:rFonts w:hint="eastAsia"/>
          <w:szCs w:val="28"/>
        </w:rPr>
        <w:t>50</w:t>
      </w:r>
      <w:r>
        <w:rPr>
          <w:rFonts w:hint="eastAsia"/>
          <w:color w:val="000000"/>
          <w:szCs w:val="20"/>
        </w:rPr>
        <w:t>m</w:t>
      </w:r>
      <w:r>
        <w:rPr>
          <w:rFonts w:hint="eastAsia"/>
          <w:color w:val="000000"/>
          <w:szCs w:val="20"/>
          <w:vertAlign w:val="superscript"/>
        </w:rPr>
        <w:t>3</w:t>
      </w:r>
      <w:r>
        <w:rPr>
          <w:rFonts w:hint="eastAsia"/>
          <w:color w:val="000000"/>
          <w:szCs w:val="20"/>
        </w:rPr>
        <w:t>/</w:t>
      </w:r>
      <w:r>
        <w:rPr>
          <w:rFonts w:hint="eastAsia"/>
          <w:color w:val="000000"/>
          <w:szCs w:val="20"/>
        </w:rPr>
        <w:t>次，</w:t>
      </w:r>
      <w:r>
        <w:rPr>
          <w:rFonts w:hint="eastAsia"/>
          <w:szCs w:val="28"/>
        </w:rPr>
        <w:t>微灌果园每隔</w:t>
      </w:r>
      <w:r>
        <w:rPr>
          <w:rFonts w:hint="eastAsia"/>
          <w:szCs w:val="28"/>
        </w:rPr>
        <w:t>10d</w:t>
      </w:r>
      <w:r>
        <w:rPr>
          <w:rFonts w:hint="eastAsia"/>
          <w:color w:val="000000"/>
          <w:szCs w:val="20"/>
        </w:rPr>
        <w:t>～</w:t>
      </w:r>
      <w:r>
        <w:rPr>
          <w:rFonts w:hint="eastAsia"/>
          <w:szCs w:val="28"/>
        </w:rPr>
        <w:t>15d</w:t>
      </w:r>
      <w:r>
        <w:rPr>
          <w:rFonts w:hint="eastAsia"/>
          <w:szCs w:val="28"/>
        </w:rPr>
        <w:t>灌水一次，单株灌水量为</w:t>
      </w:r>
      <w:r>
        <w:rPr>
          <w:rFonts w:hint="eastAsia"/>
          <w:szCs w:val="28"/>
        </w:rPr>
        <w:t>20L</w:t>
      </w:r>
      <w:r>
        <w:rPr>
          <w:rFonts w:hint="eastAsia"/>
          <w:szCs w:val="28"/>
        </w:rPr>
        <w:t>～</w:t>
      </w:r>
      <w:r>
        <w:rPr>
          <w:rFonts w:hint="eastAsia"/>
          <w:szCs w:val="28"/>
        </w:rPr>
        <w:t>30L/</w:t>
      </w:r>
      <w:r>
        <w:rPr>
          <w:rFonts w:hint="eastAsia"/>
          <w:szCs w:val="28"/>
        </w:rPr>
        <w:t>次；遵循“根找水”的原则，引导根系向有利于施肥等田间管理的区域发展。</w:t>
      </w:r>
    </w:p>
    <w:p w:rsidR="00786233" w:rsidRDefault="00CA0B92" w:rsidP="009E7223">
      <w:pPr>
        <w:pStyle w:val="3"/>
      </w:pPr>
      <w:r>
        <w:rPr>
          <w:rFonts w:hint="eastAsia"/>
        </w:rPr>
        <w:lastRenderedPageBreak/>
        <w:t>7.3.2 成龄树灌溉</w:t>
      </w:r>
    </w:p>
    <w:p w:rsidR="00786233" w:rsidRDefault="00CA0B92" w:rsidP="009E7223">
      <w:pPr>
        <w:pStyle w:val="10"/>
        <w:adjustRightInd w:val="0"/>
        <w:snapToGrid w:val="0"/>
        <w:spacing w:line="360" w:lineRule="auto"/>
        <w:rPr>
          <w:color w:val="000000"/>
          <w:szCs w:val="20"/>
        </w:rPr>
      </w:pPr>
      <w:r>
        <w:rPr>
          <w:rFonts w:hint="eastAsia"/>
          <w:color w:val="000000"/>
          <w:szCs w:val="20"/>
        </w:rPr>
        <w:t>萌芽前、新梢生长期、幼果膨大期、封冻前灌水，其它时期根据干旱情况酌定，果实成熟期勿灌水；秋施基肥、生长期土壤追肥后要及时灌溉；畦灌园亩灌水量</w:t>
      </w:r>
      <w:r>
        <w:rPr>
          <w:rFonts w:hint="eastAsia"/>
          <w:color w:val="000000"/>
          <w:szCs w:val="20"/>
        </w:rPr>
        <w:t>40m</w:t>
      </w:r>
      <w:r>
        <w:rPr>
          <w:rFonts w:hint="eastAsia"/>
          <w:color w:val="000000"/>
          <w:szCs w:val="20"/>
          <w:vertAlign w:val="superscript"/>
        </w:rPr>
        <w:t>3</w:t>
      </w:r>
      <w:r>
        <w:rPr>
          <w:rFonts w:hint="eastAsia"/>
          <w:color w:val="000000"/>
          <w:szCs w:val="20"/>
        </w:rPr>
        <w:t>～</w:t>
      </w:r>
      <w:r>
        <w:rPr>
          <w:rFonts w:hint="eastAsia"/>
          <w:color w:val="000000"/>
          <w:szCs w:val="20"/>
        </w:rPr>
        <w:t>60m</w:t>
      </w:r>
      <w:r>
        <w:rPr>
          <w:rFonts w:hint="eastAsia"/>
          <w:color w:val="000000"/>
          <w:szCs w:val="20"/>
          <w:vertAlign w:val="superscript"/>
        </w:rPr>
        <w:t>3</w:t>
      </w:r>
      <w:r>
        <w:rPr>
          <w:rFonts w:hint="eastAsia"/>
          <w:color w:val="000000"/>
          <w:szCs w:val="20"/>
        </w:rPr>
        <w:t>/</w:t>
      </w:r>
      <w:r>
        <w:rPr>
          <w:rFonts w:hint="eastAsia"/>
          <w:color w:val="000000"/>
          <w:szCs w:val="20"/>
        </w:rPr>
        <w:t>次，微灌果园每隔</w:t>
      </w:r>
      <w:r>
        <w:rPr>
          <w:rFonts w:hint="eastAsia"/>
          <w:color w:val="000000"/>
          <w:szCs w:val="20"/>
        </w:rPr>
        <w:t>10d</w:t>
      </w:r>
      <w:r>
        <w:rPr>
          <w:rFonts w:hint="eastAsia"/>
          <w:color w:val="000000"/>
          <w:szCs w:val="20"/>
        </w:rPr>
        <w:t>～</w:t>
      </w:r>
      <w:r>
        <w:rPr>
          <w:rFonts w:hint="eastAsia"/>
          <w:color w:val="000000"/>
          <w:szCs w:val="20"/>
        </w:rPr>
        <w:t>15d</w:t>
      </w:r>
      <w:r>
        <w:rPr>
          <w:rFonts w:hint="eastAsia"/>
          <w:color w:val="000000"/>
          <w:szCs w:val="20"/>
        </w:rPr>
        <w:t>灌水一次，单株灌水量为</w:t>
      </w:r>
      <w:r>
        <w:rPr>
          <w:rFonts w:hint="eastAsia"/>
          <w:color w:val="000000"/>
          <w:szCs w:val="20"/>
        </w:rPr>
        <w:t>40L</w:t>
      </w:r>
      <w:r>
        <w:rPr>
          <w:rFonts w:hint="eastAsia"/>
          <w:color w:val="000000"/>
          <w:szCs w:val="20"/>
        </w:rPr>
        <w:t>～</w:t>
      </w:r>
      <w:r>
        <w:rPr>
          <w:rFonts w:hint="eastAsia"/>
          <w:color w:val="000000"/>
          <w:szCs w:val="20"/>
        </w:rPr>
        <w:t>60L/</w:t>
      </w:r>
      <w:r>
        <w:rPr>
          <w:rFonts w:hint="eastAsia"/>
          <w:color w:val="000000"/>
          <w:szCs w:val="20"/>
        </w:rPr>
        <w:t>次；灌溉位置要选择吸收根集中分布区域。</w:t>
      </w:r>
    </w:p>
    <w:p w:rsidR="00786233" w:rsidRDefault="00CA0B92" w:rsidP="009E7223">
      <w:pPr>
        <w:pStyle w:val="3"/>
      </w:pPr>
      <w:r>
        <w:rPr>
          <w:rFonts w:hint="eastAsia"/>
        </w:rPr>
        <w:t>7.3.3 排涝</w:t>
      </w:r>
    </w:p>
    <w:p w:rsidR="00786233" w:rsidRDefault="00CA0B92" w:rsidP="009E7223">
      <w:pPr>
        <w:pStyle w:val="10"/>
        <w:adjustRightInd w:val="0"/>
        <w:snapToGrid w:val="0"/>
        <w:spacing w:line="360" w:lineRule="auto"/>
        <w:rPr>
          <w:color w:val="000000"/>
          <w:szCs w:val="20"/>
        </w:rPr>
      </w:pPr>
      <w:r>
        <w:rPr>
          <w:rFonts w:hint="eastAsia"/>
          <w:color w:val="000000"/>
          <w:szCs w:val="20"/>
        </w:rPr>
        <w:t>杏树忌淹，疏通排涝沟、渠，雨后出现积水时及时排除。</w:t>
      </w:r>
    </w:p>
    <w:p w:rsidR="00786233" w:rsidRDefault="00CA0B92" w:rsidP="003A2FAF">
      <w:pPr>
        <w:pStyle w:val="1"/>
        <w:rPr>
          <w:rFonts w:hint="default"/>
        </w:rPr>
      </w:pPr>
      <w:r>
        <w:t>8  整形修剪</w:t>
      </w:r>
    </w:p>
    <w:p w:rsidR="00786233" w:rsidRDefault="00CA0B92" w:rsidP="003A2FAF">
      <w:pPr>
        <w:pStyle w:val="2"/>
        <w:rPr>
          <w:rFonts w:hint="default"/>
        </w:rPr>
      </w:pPr>
      <w:r>
        <w:t>8.1整形原则</w:t>
      </w:r>
    </w:p>
    <w:p w:rsidR="00786233" w:rsidRDefault="00CA0B92" w:rsidP="009E7223">
      <w:pPr>
        <w:pStyle w:val="10"/>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培养合理的树体结构，平衡生长与结果的关系，调节营养物质的分配与运转，改善光照条件，提高光合效能，实现优质、高产、稳产。</w:t>
      </w:r>
    </w:p>
    <w:p w:rsidR="00786233" w:rsidRDefault="00CA0B92" w:rsidP="009E7223">
      <w:pPr>
        <w:pStyle w:val="2"/>
        <w:rPr>
          <w:rFonts w:hint="default"/>
          <w:color w:val="000000"/>
        </w:rPr>
      </w:pPr>
      <w:r>
        <w:rPr>
          <w:color w:val="000000"/>
        </w:rPr>
        <w:t xml:space="preserve">8.2  </w:t>
      </w:r>
      <w:r>
        <w:t>主要树形及结构</w:t>
      </w:r>
    </w:p>
    <w:p w:rsidR="00786233" w:rsidRDefault="00CA0B92" w:rsidP="009E7223">
      <w:pPr>
        <w:pStyle w:val="3"/>
      </w:pPr>
      <w:r>
        <w:rPr>
          <w:rFonts w:hint="eastAsia"/>
        </w:rPr>
        <w:t>8.2.1  自然圆头形</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干高80cm，无明显中心干，主干上错落着生5个～6个主枝，各主枝每间隔40cm～50cm左右留一个侧枝，侧枝上下左右分布均匀，侧枝上着生结果枝组。</w:t>
      </w:r>
    </w:p>
    <w:p w:rsidR="00786233" w:rsidRDefault="00CA0B92" w:rsidP="009E7223">
      <w:pPr>
        <w:pStyle w:val="3"/>
      </w:pPr>
      <w:r>
        <w:rPr>
          <w:rFonts w:hint="eastAsia"/>
        </w:rPr>
        <w:t>8.2.2  疏散分层形</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干高60cm～80cm，有明显中心干。第一层3个～4个主枝，第二层2个～3个主枝，第三层1个～2个主枝，自下至上，每一层主枝枝展要小于下一层。一层与二层间距80cm,二层与三层间距60cm。第一层主枝上培养侧枝，侧枝上着生结果枝组。</w:t>
      </w:r>
    </w:p>
    <w:p w:rsidR="00786233" w:rsidRDefault="00CA0B92" w:rsidP="009E7223">
      <w:pPr>
        <w:pStyle w:val="3"/>
      </w:pPr>
      <w:r>
        <w:rPr>
          <w:rFonts w:hint="eastAsia"/>
        </w:rPr>
        <w:t>8.2.3  延迟开心形</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有明显的中心干，主干高70cm～80cm，主干上着生5个～6个均匀错开的主枝，主枝上下间距为20cm～30cm，最上部一个主枝呈水平状或斜生伸展。树体成形后，将中心干上最后一个主枝去掉，即呈开心状。主枝上着生侧枝，其上配置结果枝组。</w:t>
      </w:r>
    </w:p>
    <w:p w:rsidR="00786233" w:rsidRDefault="00CA0B92" w:rsidP="009E7223">
      <w:pPr>
        <w:pStyle w:val="2"/>
        <w:rPr>
          <w:rFonts w:hint="default"/>
        </w:rPr>
      </w:pPr>
      <w:r>
        <w:t>8.3  修剪</w:t>
      </w:r>
    </w:p>
    <w:p w:rsidR="00786233" w:rsidRDefault="00CA0B92" w:rsidP="009E7223">
      <w:pPr>
        <w:pStyle w:val="3"/>
      </w:pPr>
      <w:r>
        <w:rPr>
          <w:rFonts w:hint="eastAsia"/>
        </w:rPr>
        <w:t>8.3.1  修剪时期</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hint="eastAsia"/>
        </w:rPr>
        <w:t>一般采取夏季修</w:t>
      </w:r>
      <w:r>
        <w:rPr>
          <w:rFonts w:asciiTheme="minorEastAsia" w:hAnsiTheme="minorEastAsia" w:hint="eastAsia"/>
          <w:color w:val="000000"/>
          <w:szCs w:val="21"/>
        </w:rPr>
        <w:t>剪为主、冬季修剪为辅相结合的方式。冬季修剪（休眠期修剪）以整形、调整结构为主，疏除过多的密集枝、徒长枝、细弱枝和多余的梢头枝，缩剪衰弱冗长的结果枝组，稳定结果部位；夏季修剪（生长期修剪）主要剪除树冠内旺枝、密生枝以及剪锯口处的萌蘖枝等，增加树冠内的通风透光度，同时还要进行</w:t>
      </w:r>
      <w:r>
        <w:rPr>
          <w:rFonts w:ascii="Times New Roman" w:hint="eastAsia"/>
          <w:color w:val="000000"/>
        </w:rPr>
        <w:t>摘心、拉枝、</w:t>
      </w:r>
      <w:r>
        <w:rPr>
          <w:rFonts w:asciiTheme="minorEastAsia" w:hAnsiTheme="minorEastAsia" w:hint="eastAsia"/>
          <w:color w:val="000000"/>
          <w:szCs w:val="21"/>
        </w:rPr>
        <w:t>扭梢等措施。</w:t>
      </w:r>
    </w:p>
    <w:p w:rsidR="00786233" w:rsidRDefault="00CA0B92" w:rsidP="009E7223">
      <w:pPr>
        <w:pStyle w:val="3"/>
      </w:pPr>
      <w:r>
        <w:rPr>
          <w:rFonts w:hint="eastAsia"/>
        </w:rPr>
        <w:t>8.3.2  幼树修剪</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定干后当新梢长到60cm时，选3个～4个位置合适的枝条作主枝，在长40cm处短截，其它枝条拉平。冬季对主枝延长枝留外芽短截，侧枝开张角度缓放，竞争枝和过密枝疏除。第二年对主枝延长枝留外芽短截，夏季在侧枝上通过摘心培养结果枝组。</w:t>
      </w:r>
    </w:p>
    <w:p w:rsidR="00786233" w:rsidRDefault="00CA0B92" w:rsidP="00524370">
      <w:pPr>
        <w:pStyle w:val="3"/>
        <w:tabs>
          <w:tab w:val="center" w:pos="4153"/>
        </w:tabs>
      </w:pPr>
      <w:r>
        <w:rPr>
          <w:rFonts w:hint="eastAsia"/>
        </w:rPr>
        <w:lastRenderedPageBreak/>
        <w:t>8.3.3  初果期树修剪</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主枝、侧枝留饱满外芽短截，疏除竞争枝、直立枝、过密枝和内膛交叉枝，短截部分徒长枝，缓放冠内新萌发的较旺盛且方向、位置合适的徒长枝，培养成结果枝组。同时夏季实施摘心、拉枝等措施，增加枝叶量，缓和树势。</w:t>
      </w:r>
    </w:p>
    <w:p w:rsidR="00786233" w:rsidRPr="003A2FAF" w:rsidRDefault="00CA0B92" w:rsidP="003A2FAF">
      <w:pPr>
        <w:pStyle w:val="3"/>
      </w:pPr>
      <w:r>
        <w:rPr>
          <w:rFonts w:hint="eastAsia"/>
        </w:rPr>
        <w:t>8.3.4  盛果期树修剪</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以疏枝、短截为主，对各级主侧枝延长枝和其它骨干枝进行短截，剪截量一般占枝条长度的1/3或1/2，疏除树冠中上部的过密枝、重叠枝及外围竞争枝、直立枝，短截中庸的徒长枝，培养结果枝组。同时搞好夏季摘心、拉枝等。</w:t>
      </w:r>
    </w:p>
    <w:p w:rsidR="00786233" w:rsidRPr="003A2FAF" w:rsidRDefault="00CA0B92" w:rsidP="003A2FAF">
      <w:pPr>
        <w:pStyle w:val="3"/>
      </w:pPr>
      <w:r>
        <w:rPr>
          <w:rFonts w:hint="eastAsia"/>
        </w:rPr>
        <w:t>8.3.5  衰老期树修剪</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重点是复壮更新。去除冠内多余的、分布不合理的、有病虫害和受损害的枝条，回缩衰弱多年生枝，一次性回缩到3年～4年生枝基部。修剪时间宜在早春。对回缩后萌发出来的新枝进行整形和护理修剪。</w:t>
      </w:r>
    </w:p>
    <w:p w:rsidR="00786233" w:rsidRDefault="00CA0B92" w:rsidP="003A2FAF">
      <w:pPr>
        <w:pStyle w:val="1"/>
        <w:rPr>
          <w:rFonts w:asciiTheme="minorEastAsia" w:hAnsiTheme="minorEastAsia" w:hint="default"/>
          <w:color w:val="000000"/>
        </w:rPr>
      </w:pPr>
      <w:r>
        <w:t>9  花果管理</w:t>
      </w:r>
    </w:p>
    <w:p w:rsidR="00786233" w:rsidRDefault="00CA0B92" w:rsidP="003A2FAF">
      <w:pPr>
        <w:pStyle w:val="2"/>
        <w:rPr>
          <w:rFonts w:hint="default"/>
        </w:rPr>
      </w:pPr>
      <w:r>
        <w:t>9.1  授粉</w:t>
      </w:r>
    </w:p>
    <w:p w:rsidR="00786233" w:rsidRDefault="00CA0B92" w:rsidP="003A2FAF">
      <w:pPr>
        <w:pStyle w:val="3"/>
      </w:pPr>
      <w:r>
        <w:rPr>
          <w:rFonts w:hint="eastAsia"/>
        </w:rPr>
        <w:t>9.1.1 放蜂授粉</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初花期每亩杏园放壁蜂100头～200头或熊蜂30头～40头，放蜂至花期结束后截止。</w:t>
      </w:r>
    </w:p>
    <w:p w:rsidR="00786233" w:rsidRDefault="00CA0B92" w:rsidP="003A2FAF">
      <w:pPr>
        <w:pStyle w:val="3"/>
      </w:pPr>
      <w:r>
        <w:rPr>
          <w:rFonts w:hint="eastAsia"/>
        </w:rPr>
        <w:t>9.1.2  人工授粉</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取适宜授粉品种大蕾期花药置于20℃～25℃室内干燥条件下阴干，花粉散出后收集装瓶备用。在主栽品种盛花初期，进行人工点授或按照花粉∶冷开水∶尿素∶白糖∶硼砂=（1～2）∶500∶1.5∶25∶2.5比例配制混合液，进行液体授粉，授粉液必须在2h内喷完。</w:t>
      </w:r>
    </w:p>
    <w:p w:rsidR="00786233" w:rsidRDefault="00CA0B92" w:rsidP="003A2FAF">
      <w:pPr>
        <w:pStyle w:val="2"/>
        <w:rPr>
          <w:rFonts w:hint="default"/>
        </w:rPr>
      </w:pPr>
      <w:r>
        <w:t>9.2  疏果</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坐果多、树体负担过重的杏树应在花后1周～2周进行人工疏果，小果型品种每间隔5cm～8cm留1果，中果型品种每间隔8cm～10cm留1果，大果型品种每间隔10cm～15cm留1果。</w:t>
      </w:r>
    </w:p>
    <w:p w:rsidR="00786233" w:rsidRDefault="00CA0B92" w:rsidP="003A2FAF">
      <w:pPr>
        <w:pStyle w:val="2"/>
        <w:rPr>
          <w:rFonts w:hint="default"/>
        </w:rPr>
      </w:pPr>
      <w:r>
        <w:t>9.3  防霜冻</w:t>
      </w:r>
    </w:p>
    <w:p w:rsidR="00786233" w:rsidRDefault="00CA0B92" w:rsidP="009E7223">
      <w:pPr>
        <w:pStyle w:val="aa"/>
        <w:tabs>
          <w:tab w:val="center" w:pos="4201"/>
          <w:tab w:val="right" w:leader="dot" w:pos="9298"/>
        </w:tabs>
        <w:adjustRightInd w:val="0"/>
        <w:snapToGrid w:val="0"/>
        <w:spacing w:line="360" w:lineRule="auto"/>
        <w:ind w:firstLine="420"/>
        <w:rPr>
          <w:rFonts w:asciiTheme="minorEastAsia" w:hAnsiTheme="minorEastAsia"/>
          <w:color w:val="000000"/>
          <w:szCs w:val="21"/>
        </w:rPr>
      </w:pPr>
      <w:r>
        <w:rPr>
          <w:rFonts w:asciiTheme="minorEastAsia" w:hAnsiTheme="minorEastAsia" w:hint="eastAsia"/>
          <w:color w:val="000000"/>
          <w:szCs w:val="21"/>
        </w:rPr>
        <w:t>花期易发生冻害的地方，根据气象预报信息，进行霜冻预防。花蕾期为-3.8℃，盛花期为-2.0℃，幼果期为0.5℃，温度低于下限，必须采取措施防冻害。可采用花前灌水、空气扰流、烟雾发生等方法防止花器官受冻。</w:t>
      </w:r>
    </w:p>
    <w:p w:rsidR="00786233" w:rsidRDefault="00CA0B92" w:rsidP="003A2FAF">
      <w:pPr>
        <w:pStyle w:val="1"/>
        <w:rPr>
          <w:rFonts w:hint="default"/>
        </w:rPr>
      </w:pPr>
      <w:r>
        <w:t>10  病虫害防治</w:t>
      </w:r>
    </w:p>
    <w:p w:rsidR="00786233" w:rsidRDefault="00CA0B92" w:rsidP="003A2FAF">
      <w:pPr>
        <w:pStyle w:val="2"/>
        <w:rPr>
          <w:rFonts w:hint="default"/>
        </w:rPr>
      </w:pPr>
      <w:r>
        <w:t>10.1 防治原则</w:t>
      </w:r>
    </w:p>
    <w:p w:rsidR="000C2635" w:rsidRPr="00524370" w:rsidRDefault="000C2635">
      <w:pPr>
        <w:adjustRightInd w:val="0"/>
        <w:snapToGrid w:val="0"/>
        <w:spacing w:line="360" w:lineRule="auto"/>
        <w:ind w:firstLineChars="200" w:firstLine="420"/>
      </w:pPr>
      <w:r>
        <w:rPr>
          <w:rFonts w:ascii="宋体" w:hAnsi="宋体" w:cs="宋体" w:hint="eastAsia"/>
          <w:szCs w:val="21"/>
        </w:rPr>
        <w:t>按照</w:t>
      </w:r>
      <w:r w:rsidR="00CA0B92">
        <w:rPr>
          <w:rFonts w:ascii="宋体" w:hAnsi="宋体" w:cs="宋体" w:hint="eastAsia"/>
          <w:szCs w:val="21"/>
        </w:rPr>
        <w:t>“</w:t>
      </w:r>
      <w:r w:rsidR="00CA0B92">
        <w:rPr>
          <w:rFonts w:ascii="宋体" w:hAnsi="宋体" w:cs="宋体"/>
          <w:szCs w:val="21"/>
        </w:rPr>
        <w:t>预防为主、综合防治</w:t>
      </w:r>
      <w:r w:rsidR="00CA0B92">
        <w:rPr>
          <w:rFonts w:ascii="宋体" w:hAnsi="宋体" w:cs="宋体" w:hint="eastAsia"/>
          <w:szCs w:val="21"/>
        </w:rPr>
        <w:t>”的</w:t>
      </w:r>
      <w:r w:rsidRPr="00864E8F">
        <w:rPr>
          <w:rFonts w:hint="eastAsia"/>
        </w:rPr>
        <w:t>植保方针</w:t>
      </w:r>
      <w:r w:rsidR="00CA0B92">
        <w:rPr>
          <w:rFonts w:ascii="宋体" w:hAnsi="宋体" w:cs="宋体" w:hint="eastAsia"/>
          <w:szCs w:val="21"/>
        </w:rPr>
        <w:t>。</w:t>
      </w:r>
      <w:r w:rsidR="00CA0B92">
        <w:rPr>
          <w:rFonts w:ascii="Times New Roman"/>
        </w:rPr>
        <w:t>按照病虫害的发生规律和经济阈值，</w:t>
      </w:r>
      <w:r w:rsidR="00CA0B92">
        <w:rPr>
          <w:rFonts w:ascii="Times New Roman" w:hint="eastAsia"/>
        </w:rPr>
        <w:t>优先采用农业、物理和生物防治措施，必要时使用化学防治措施，</w:t>
      </w:r>
      <w:r w:rsidR="00CA0B92">
        <w:rPr>
          <w:rFonts w:hint="eastAsia"/>
        </w:rPr>
        <w:t>病虫害防治应符合</w:t>
      </w:r>
      <w:r w:rsidR="00CA0B92">
        <w:rPr>
          <w:rFonts w:ascii="宋体" w:hAnsi="宋体" w:cs="宋体" w:hint="eastAsia"/>
          <w:szCs w:val="21"/>
        </w:rPr>
        <w:t>NY/T 393的规定</w:t>
      </w:r>
      <w:r w:rsidR="00CA0B92">
        <w:rPr>
          <w:rFonts w:hint="eastAsia"/>
        </w:rPr>
        <w:t>。</w:t>
      </w:r>
    </w:p>
    <w:p w:rsidR="00786233" w:rsidRDefault="00CA0B92" w:rsidP="003A2FAF">
      <w:pPr>
        <w:pStyle w:val="2"/>
        <w:rPr>
          <w:rFonts w:hint="default"/>
        </w:rPr>
      </w:pPr>
      <w:r>
        <w:t>10.2  常见病虫害</w:t>
      </w:r>
    </w:p>
    <w:p w:rsidR="00786233" w:rsidRDefault="00CA0B92" w:rsidP="003A2FAF">
      <w:pPr>
        <w:pStyle w:val="3"/>
      </w:pPr>
      <w:r>
        <w:rPr>
          <w:rFonts w:hint="eastAsia"/>
        </w:rPr>
        <w:lastRenderedPageBreak/>
        <w:t>10.2.1  常见病害</w:t>
      </w:r>
    </w:p>
    <w:p w:rsidR="00786233" w:rsidRDefault="00CA0B92" w:rsidP="009E7223">
      <w:pPr>
        <w:pStyle w:val="10"/>
        <w:adjustRightInd w:val="0"/>
        <w:snapToGrid w:val="0"/>
        <w:spacing w:line="360" w:lineRule="auto"/>
        <w:rPr>
          <w:rFonts w:asciiTheme="minorEastAsia" w:eastAsiaTheme="minorEastAsia" w:hAnsiTheme="minorEastAsia"/>
        </w:rPr>
      </w:pPr>
      <w:r>
        <w:rPr>
          <w:rFonts w:asciiTheme="minorEastAsia" w:eastAsiaTheme="minorEastAsia" w:hAnsiTheme="minorEastAsia" w:hint="eastAsia"/>
        </w:rPr>
        <w:t>杏疔病、细菌性穿孔病、杏褐腐病、杏流胶病、</w:t>
      </w:r>
      <w:r>
        <w:rPr>
          <w:rFonts w:asciiTheme="minorEastAsia" w:eastAsiaTheme="minorEastAsia" w:hAnsiTheme="minorEastAsia"/>
        </w:rPr>
        <w:t>杏疮痂病</w:t>
      </w:r>
      <w:r>
        <w:rPr>
          <w:rFonts w:asciiTheme="minorEastAsia" w:eastAsiaTheme="minorEastAsia" w:hAnsiTheme="minorEastAsia" w:hint="eastAsia"/>
        </w:rPr>
        <w:t>、杏叶斑点病等。</w:t>
      </w:r>
    </w:p>
    <w:p w:rsidR="00786233" w:rsidRDefault="00CA0B92" w:rsidP="003A2FAF">
      <w:pPr>
        <w:pStyle w:val="3"/>
      </w:pPr>
      <w:r>
        <w:rPr>
          <w:rFonts w:hint="eastAsia"/>
        </w:rPr>
        <w:t>10.2.2  常见虫害</w:t>
      </w:r>
    </w:p>
    <w:p w:rsidR="00786233" w:rsidRDefault="00CA0B92" w:rsidP="009E7223">
      <w:pPr>
        <w:pStyle w:val="10"/>
        <w:adjustRightInd w:val="0"/>
        <w:snapToGrid w:val="0"/>
        <w:spacing w:line="360" w:lineRule="auto"/>
        <w:rPr>
          <w:rFonts w:asciiTheme="minorEastAsia" w:eastAsiaTheme="minorEastAsia" w:hAnsiTheme="minorEastAsia"/>
          <w:color w:val="000000"/>
        </w:rPr>
      </w:pPr>
      <w:r>
        <w:rPr>
          <w:rFonts w:ascii="宋体" w:hAnsi="宋体" w:cs="宋体" w:hint="eastAsia"/>
          <w:color w:val="000000"/>
        </w:rPr>
        <w:t>蚜虫、叶螨、梨小食心虫、桃小食心虫、杏球坚蚧、桑白蚧、龟蜡蚧、杏仁蜂、天牛、小蠹虫、</w:t>
      </w:r>
      <w:r>
        <w:rPr>
          <w:rFonts w:ascii="宋体" w:hint="eastAsia"/>
          <w:szCs w:val="20"/>
        </w:rPr>
        <w:t>金龟子、食叶性</w:t>
      </w:r>
      <w:r>
        <w:rPr>
          <w:rFonts w:ascii="宋体" w:hAnsi="宋体" w:cs="宋体" w:hint="eastAsia"/>
          <w:color w:val="000000"/>
        </w:rPr>
        <w:t>鳞翅目毛虫等。</w:t>
      </w:r>
    </w:p>
    <w:p w:rsidR="00786233" w:rsidRDefault="00CA0B92" w:rsidP="003A2FAF">
      <w:pPr>
        <w:pStyle w:val="2"/>
        <w:rPr>
          <w:rFonts w:hint="default"/>
        </w:rPr>
      </w:pPr>
      <w:r>
        <w:t>10.3  防控措施</w:t>
      </w:r>
    </w:p>
    <w:p w:rsidR="00786233" w:rsidRDefault="00CA0B92" w:rsidP="003A2FAF">
      <w:pPr>
        <w:pStyle w:val="3"/>
      </w:pPr>
      <w:r>
        <w:rPr>
          <w:rFonts w:hint="eastAsia"/>
        </w:rPr>
        <w:t>10.3.1  农业措施</w:t>
      </w:r>
    </w:p>
    <w:p w:rsidR="00786233" w:rsidRDefault="00CA0B92" w:rsidP="009E7223">
      <w:pPr>
        <w:adjustRightInd w:val="0"/>
        <w:snapToGrid w:val="0"/>
        <w:spacing w:line="360" w:lineRule="auto"/>
        <w:ind w:firstLineChars="200" w:firstLine="420"/>
        <w:rPr>
          <w:rFonts w:ascii="黑体" w:eastAsia="黑体" w:hAnsi="黑体" w:cs="黑体"/>
          <w:szCs w:val="21"/>
        </w:rPr>
      </w:pPr>
      <w:r>
        <w:rPr>
          <w:rFonts w:hint="eastAsia"/>
        </w:rPr>
        <w:t>通过加强土肥水管理等措施，以保持树势健壮，提高抗病虫能力；合理修剪，保证树体通风透光，清除枯枝落叶、刮除树干老翘裂皮、翻树盘、剪除病虫枝果，减少病虫源，降低病虫基数；生长季节后期注意控氮、控水，防止徒长。</w:t>
      </w:r>
    </w:p>
    <w:p w:rsidR="00786233" w:rsidRDefault="00CA0B92" w:rsidP="003A2FAF">
      <w:pPr>
        <w:pStyle w:val="3"/>
      </w:pPr>
      <w:r>
        <w:rPr>
          <w:rFonts w:hint="eastAsia"/>
        </w:rPr>
        <w:t>10.3.2  物理措施</w:t>
      </w:r>
    </w:p>
    <w:p w:rsidR="00786233" w:rsidRDefault="00CA0B92" w:rsidP="009E7223">
      <w:pPr>
        <w:adjustRightInd w:val="0"/>
        <w:snapToGrid w:val="0"/>
        <w:spacing w:line="360" w:lineRule="auto"/>
        <w:ind w:firstLineChars="200" w:firstLine="420"/>
        <w:rPr>
          <w:rFonts w:ascii="黑体" w:eastAsia="黑体" w:hAnsi="黑体" w:cs="黑体"/>
          <w:szCs w:val="21"/>
        </w:rPr>
      </w:pPr>
      <w:r>
        <w:rPr>
          <w:rFonts w:ascii="Times New Roman" w:eastAsia="宋体" w:hAnsi="Times New Roman" w:hint="eastAsia"/>
          <w:color w:val="000000"/>
          <w:szCs w:val="20"/>
        </w:rPr>
        <w:t>通过悬挂黄板、安装频振杀虫灯、悬挂糖醋液或者使用性诱剂、迷向丝等方式进行物理防控。如：黄板悬挂在杏树冠顶部之上或插于行间，每亩悬挂</w:t>
      </w:r>
      <w:r>
        <w:rPr>
          <w:rFonts w:ascii="Times New Roman" w:eastAsia="宋体" w:hAnsi="Times New Roman" w:hint="eastAsia"/>
          <w:color w:val="000000"/>
          <w:szCs w:val="20"/>
        </w:rPr>
        <w:t>20</w:t>
      </w:r>
      <w:r>
        <w:rPr>
          <w:rFonts w:ascii="Times New Roman" w:eastAsia="宋体" w:hAnsi="Times New Roman" w:hint="eastAsia"/>
          <w:color w:val="000000"/>
          <w:szCs w:val="20"/>
        </w:rPr>
        <w:t>张～</w:t>
      </w:r>
      <w:r>
        <w:rPr>
          <w:rFonts w:ascii="Times New Roman" w:eastAsia="宋体" w:hAnsi="Times New Roman" w:hint="eastAsia"/>
          <w:color w:val="000000"/>
          <w:szCs w:val="20"/>
        </w:rPr>
        <w:t>30</w:t>
      </w:r>
      <w:r>
        <w:rPr>
          <w:rFonts w:ascii="Times New Roman" w:eastAsia="宋体" w:hAnsi="Times New Roman" w:hint="eastAsia"/>
          <w:color w:val="000000"/>
          <w:szCs w:val="20"/>
        </w:rPr>
        <w:t>张；频振杀虫灯每</w:t>
      </w:r>
      <w:r>
        <w:rPr>
          <w:rFonts w:ascii="Times New Roman" w:eastAsia="宋体" w:hAnsi="Times New Roman" w:hint="eastAsia"/>
          <w:color w:val="000000"/>
          <w:szCs w:val="20"/>
        </w:rPr>
        <w:t>30</w:t>
      </w:r>
      <w:r>
        <w:rPr>
          <w:rFonts w:ascii="Times New Roman" w:eastAsia="宋体" w:hAnsi="Times New Roman" w:hint="eastAsia"/>
          <w:color w:val="000000"/>
          <w:szCs w:val="20"/>
        </w:rPr>
        <w:t>亩～</w:t>
      </w:r>
      <w:r>
        <w:rPr>
          <w:rFonts w:ascii="Times New Roman" w:eastAsia="宋体" w:hAnsi="Times New Roman" w:hint="eastAsia"/>
          <w:color w:val="000000"/>
          <w:szCs w:val="20"/>
        </w:rPr>
        <w:t>40</w:t>
      </w:r>
      <w:r>
        <w:rPr>
          <w:rFonts w:ascii="Times New Roman" w:eastAsia="宋体" w:hAnsi="Times New Roman" w:hint="eastAsia"/>
          <w:color w:val="000000"/>
          <w:szCs w:val="20"/>
        </w:rPr>
        <w:t>亩安装</w:t>
      </w:r>
      <w:r>
        <w:rPr>
          <w:rFonts w:ascii="Times New Roman" w:eastAsia="宋体" w:hAnsi="Times New Roman" w:hint="eastAsia"/>
          <w:color w:val="000000"/>
          <w:szCs w:val="20"/>
        </w:rPr>
        <w:t>1</w:t>
      </w:r>
      <w:r>
        <w:rPr>
          <w:rFonts w:ascii="Times New Roman" w:eastAsia="宋体" w:hAnsi="Times New Roman" w:hint="eastAsia"/>
          <w:color w:val="000000"/>
          <w:szCs w:val="20"/>
        </w:rPr>
        <w:t>台，每天</w:t>
      </w:r>
      <w:r>
        <w:rPr>
          <w:rFonts w:ascii="Times New Roman" w:eastAsia="宋体" w:hAnsi="Times New Roman" w:hint="eastAsia"/>
          <w:color w:val="000000"/>
          <w:szCs w:val="20"/>
        </w:rPr>
        <w:t>20</w:t>
      </w:r>
      <w:r w:rsidR="00524370">
        <w:rPr>
          <w:rFonts w:ascii="Times New Roman" w:eastAsia="宋体" w:hAnsi="Times New Roman" w:hint="eastAsia"/>
          <w:color w:val="000000"/>
          <w:szCs w:val="20"/>
        </w:rPr>
        <w:t>:</w:t>
      </w:r>
      <w:r>
        <w:rPr>
          <w:rFonts w:ascii="Times New Roman" w:eastAsia="宋体" w:hAnsi="Times New Roman" w:hint="eastAsia"/>
          <w:color w:val="000000"/>
          <w:szCs w:val="20"/>
        </w:rPr>
        <w:t>00</w:t>
      </w:r>
      <w:r>
        <w:rPr>
          <w:rFonts w:ascii="Times New Roman" w:eastAsia="宋体" w:hAnsi="Times New Roman" w:hint="eastAsia"/>
          <w:color w:val="000000"/>
          <w:szCs w:val="20"/>
        </w:rPr>
        <w:t>至次日</w:t>
      </w:r>
      <w:r>
        <w:rPr>
          <w:rFonts w:ascii="Times New Roman" w:eastAsia="宋体" w:hAnsi="Times New Roman" w:hint="eastAsia"/>
          <w:color w:val="000000"/>
          <w:szCs w:val="20"/>
        </w:rPr>
        <w:t>6</w:t>
      </w:r>
      <w:r w:rsidR="00524370">
        <w:rPr>
          <w:rFonts w:ascii="Times New Roman" w:eastAsia="宋体" w:hAnsi="Times New Roman" w:hint="eastAsia"/>
          <w:color w:val="000000"/>
          <w:szCs w:val="20"/>
        </w:rPr>
        <w:t>:</w:t>
      </w:r>
      <w:r>
        <w:rPr>
          <w:rFonts w:ascii="Times New Roman" w:eastAsia="宋体" w:hAnsi="Times New Roman" w:hint="eastAsia"/>
          <w:color w:val="000000"/>
          <w:szCs w:val="20"/>
        </w:rPr>
        <w:t>00</w:t>
      </w:r>
      <w:r>
        <w:rPr>
          <w:rFonts w:ascii="Times New Roman" w:eastAsia="宋体" w:hAnsi="Times New Roman" w:hint="eastAsia"/>
          <w:color w:val="000000"/>
          <w:szCs w:val="20"/>
        </w:rPr>
        <w:t>开灯；不同类型性诱剂每亩</w:t>
      </w:r>
      <w:r>
        <w:rPr>
          <w:rFonts w:ascii="Times New Roman" w:eastAsia="宋体" w:hAnsi="Times New Roman" w:hint="eastAsia"/>
          <w:color w:val="000000"/>
          <w:szCs w:val="20"/>
        </w:rPr>
        <w:t>30</w:t>
      </w:r>
      <w:r>
        <w:rPr>
          <w:rFonts w:ascii="Times New Roman" w:eastAsia="宋体" w:hAnsi="Times New Roman" w:hint="eastAsia"/>
          <w:color w:val="000000"/>
          <w:szCs w:val="20"/>
        </w:rPr>
        <w:t>个～</w:t>
      </w:r>
      <w:r>
        <w:rPr>
          <w:rFonts w:ascii="Times New Roman" w:eastAsia="宋体" w:hAnsi="Times New Roman" w:hint="eastAsia"/>
          <w:color w:val="000000"/>
          <w:szCs w:val="20"/>
        </w:rPr>
        <w:t>40</w:t>
      </w:r>
      <w:r>
        <w:rPr>
          <w:rFonts w:ascii="Times New Roman" w:eastAsia="宋体" w:hAnsi="Times New Roman" w:hint="eastAsia"/>
          <w:color w:val="000000"/>
          <w:szCs w:val="20"/>
        </w:rPr>
        <w:t>个。</w:t>
      </w:r>
    </w:p>
    <w:p w:rsidR="00786233" w:rsidRDefault="00CA0B92" w:rsidP="003A2FAF">
      <w:pPr>
        <w:pStyle w:val="3"/>
      </w:pPr>
      <w:r>
        <w:rPr>
          <w:rFonts w:hint="eastAsia"/>
        </w:rPr>
        <w:t>10.3.3  生物措施</w:t>
      </w:r>
    </w:p>
    <w:p w:rsidR="00786233" w:rsidRDefault="00CA0B92" w:rsidP="009E7223">
      <w:pPr>
        <w:adjustRightInd w:val="0"/>
        <w:snapToGrid w:val="0"/>
        <w:spacing w:line="360" w:lineRule="auto"/>
        <w:ind w:firstLineChars="200" w:firstLine="420"/>
        <w:rPr>
          <w:rFonts w:ascii="黑体" w:eastAsia="黑体" w:hAnsi="黑体" w:cs="黑体"/>
          <w:szCs w:val="21"/>
        </w:rPr>
      </w:pPr>
      <w:r>
        <w:rPr>
          <w:rFonts w:ascii="Times New Roman" w:eastAsia="宋体" w:hAnsi="Calibri" w:cs="Times New Roman"/>
        </w:rPr>
        <w:t>调节果园生态环境，</w:t>
      </w:r>
      <w:r>
        <w:rPr>
          <w:rFonts w:ascii="Times New Roman" w:eastAsia="宋体" w:hAnsi="Times New Roman" w:hint="eastAsia"/>
          <w:color w:val="000000"/>
          <w:szCs w:val="20"/>
        </w:rPr>
        <w:t>释放商品化的</w:t>
      </w:r>
      <w:r>
        <w:rPr>
          <w:rFonts w:ascii="Times New Roman" w:eastAsia="宋体" w:hAnsi="Calibri" w:cs="Times New Roman"/>
        </w:rPr>
        <w:t>害虫病原性天敌、捕食性天敌或寄生性天敌，</w:t>
      </w:r>
      <w:r>
        <w:rPr>
          <w:rFonts w:ascii="Times New Roman" w:eastAsia="宋体" w:hAnsi="Times New Roman" w:hint="eastAsia"/>
          <w:color w:val="000000"/>
          <w:szCs w:val="20"/>
        </w:rPr>
        <w:t>如捕食螨、小蜂、瓢虫等。</w:t>
      </w:r>
    </w:p>
    <w:p w:rsidR="00786233" w:rsidRDefault="00CA0B92" w:rsidP="003A2FAF">
      <w:pPr>
        <w:pStyle w:val="3"/>
      </w:pPr>
      <w:r>
        <w:rPr>
          <w:rFonts w:hint="eastAsia"/>
        </w:rPr>
        <w:t>10.3.4  化学措施</w:t>
      </w:r>
    </w:p>
    <w:p w:rsidR="00786233" w:rsidRDefault="00CA0B92" w:rsidP="009E7223">
      <w:pPr>
        <w:adjustRightInd w:val="0"/>
        <w:snapToGrid w:val="0"/>
        <w:spacing w:line="360" w:lineRule="auto"/>
        <w:ind w:firstLineChars="200" w:firstLine="420"/>
        <w:rPr>
          <w:rFonts w:asciiTheme="minorEastAsia" w:hAnsiTheme="minorEastAsia"/>
          <w:color w:val="FF0000"/>
        </w:rPr>
      </w:pPr>
      <w:r>
        <w:rPr>
          <w:rFonts w:ascii="Times New Roman" w:eastAsia="宋体" w:hAnsi="Calibri" w:cs="Times New Roman" w:hint="eastAsia"/>
        </w:rPr>
        <w:t>当病虫发生数量和杏树遭受危害程度达到防</w:t>
      </w:r>
      <w:r>
        <w:rPr>
          <w:rFonts w:ascii="Times New Roman" w:hint="eastAsia"/>
        </w:rPr>
        <w:t>控</w:t>
      </w:r>
      <w:r>
        <w:rPr>
          <w:rFonts w:ascii="Times New Roman" w:eastAsia="宋体" w:hAnsi="Calibri" w:cs="Times New Roman" w:hint="eastAsia"/>
        </w:rPr>
        <w:t>指标时，</w:t>
      </w:r>
      <w:r>
        <w:rPr>
          <w:rFonts w:ascii="Times New Roman" w:hint="eastAsia"/>
        </w:rPr>
        <w:t>必要时</w:t>
      </w:r>
      <w:r>
        <w:rPr>
          <w:rFonts w:ascii="Times New Roman" w:eastAsia="宋体" w:hAnsi="Calibri" w:cs="Times New Roman" w:hint="eastAsia"/>
        </w:rPr>
        <w:t>选择使用高效、低毒、低残留的化学农药</w:t>
      </w:r>
      <w:r>
        <w:rPr>
          <w:rFonts w:ascii="Times New Roman" w:hint="eastAsia"/>
        </w:rPr>
        <w:t>，</w:t>
      </w:r>
      <w:r>
        <w:rPr>
          <w:rFonts w:ascii="Times New Roman" w:eastAsia="宋体" w:hAnsi="Calibri" w:cs="Times New Roman" w:hint="eastAsia"/>
        </w:rPr>
        <w:t>严格控制</w:t>
      </w:r>
      <w:r>
        <w:rPr>
          <w:rFonts w:ascii="Times New Roman" w:hint="eastAsia"/>
        </w:rPr>
        <w:t>用</w:t>
      </w:r>
      <w:r>
        <w:rPr>
          <w:rFonts w:ascii="Times New Roman" w:eastAsia="宋体" w:hAnsi="Calibri" w:cs="Times New Roman" w:hint="eastAsia"/>
        </w:rPr>
        <w:t>药量和间隔期，避免连续施用单</w:t>
      </w:r>
      <w:r>
        <w:rPr>
          <w:rFonts w:ascii="宋体" w:eastAsia="宋体" w:hAnsi="宋体" w:cs="Times New Roman" w:hint="eastAsia"/>
        </w:rPr>
        <w:t>一农药，可采取轮换使用或混用方</w:t>
      </w:r>
      <w:r>
        <w:rPr>
          <w:rFonts w:ascii="Times New Roman" w:eastAsia="宋体" w:hAnsi="Calibri" w:cs="Times New Roman" w:hint="eastAsia"/>
        </w:rPr>
        <w:t>式，杏树病虫害防治推荐农药使用方案见附录</w:t>
      </w:r>
      <w:r>
        <w:rPr>
          <w:rFonts w:ascii="Times New Roman" w:eastAsia="宋体" w:hAnsi="Calibri" w:cs="Times New Roman"/>
        </w:rPr>
        <w:t>A</w:t>
      </w:r>
      <w:r>
        <w:rPr>
          <w:rFonts w:ascii="Times New Roman" w:eastAsia="宋体" w:hAnsi="Calibri" w:cs="Times New Roman" w:hint="eastAsia"/>
        </w:rPr>
        <w:t>。</w:t>
      </w:r>
    </w:p>
    <w:p w:rsidR="00786233" w:rsidRDefault="003A2FAF" w:rsidP="003A2FAF">
      <w:pPr>
        <w:pStyle w:val="1"/>
        <w:rPr>
          <w:rFonts w:hint="default"/>
        </w:rPr>
      </w:pPr>
      <w:r>
        <w:t xml:space="preserve">11 </w:t>
      </w:r>
      <w:r w:rsidR="00CA0B92">
        <w:t>采收、包装、储藏和运输</w:t>
      </w:r>
    </w:p>
    <w:p w:rsidR="00786233" w:rsidRDefault="003A2FAF" w:rsidP="003A2FAF">
      <w:pPr>
        <w:pStyle w:val="2"/>
        <w:rPr>
          <w:rFonts w:hint="default"/>
        </w:rPr>
      </w:pPr>
      <w:r>
        <w:t xml:space="preserve">11.1 </w:t>
      </w:r>
      <w:r w:rsidR="00CA0B92">
        <w:t>果实采收</w:t>
      </w:r>
    </w:p>
    <w:p w:rsidR="00786233" w:rsidRDefault="00CA0B92" w:rsidP="003A2FAF">
      <w:pPr>
        <w:pStyle w:val="3"/>
      </w:pPr>
      <w:r>
        <w:rPr>
          <w:rFonts w:hint="eastAsia"/>
        </w:rPr>
        <w:t>11.1.1 采收标准</w:t>
      </w:r>
    </w:p>
    <w:p w:rsidR="00786233" w:rsidRDefault="00CA0B92" w:rsidP="009E7223">
      <w:pPr>
        <w:pStyle w:val="10"/>
        <w:adjustRightInd w:val="0"/>
        <w:snapToGrid w:val="0"/>
        <w:spacing w:line="360" w:lineRule="auto"/>
        <w:rPr>
          <w:rFonts w:asciiTheme="minorEastAsia" w:eastAsiaTheme="minorEastAsia" w:hAnsiTheme="minorEastAsia" w:cs="宋体"/>
        </w:rPr>
      </w:pPr>
      <w:r>
        <w:rPr>
          <w:rFonts w:ascii="宋体" w:hAnsi="宋体" w:hint="eastAsia"/>
          <w:color w:val="000000"/>
          <w:szCs w:val="20"/>
        </w:rPr>
        <w:t>果实发育达到成熟阶段，基本呈现出本品种特有的色、香、味时可实施采收，</w:t>
      </w:r>
      <w:r>
        <w:rPr>
          <w:rFonts w:ascii="宋体" w:hAnsi="宋体" w:hint="eastAsia"/>
        </w:rPr>
        <w:t>果实质量</w:t>
      </w:r>
      <w:r>
        <w:rPr>
          <w:rFonts w:asciiTheme="minorEastAsia" w:eastAsiaTheme="minorEastAsia" w:hAnsiTheme="minorEastAsia" w:hint="eastAsia"/>
          <w:color w:val="000000"/>
          <w:szCs w:val="20"/>
        </w:rPr>
        <w:t>符合</w:t>
      </w:r>
      <w:r>
        <w:rPr>
          <w:rFonts w:asciiTheme="minorEastAsia" w:eastAsiaTheme="minorEastAsia" w:hAnsiTheme="minorEastAsia" w:cs="宋体" w:hint="eastAsia"/>
        </w:rPr>
        <w:t>NY/T 844要求。</w:t>
      </w:r>
    </w:p>
    <w:p w:rsidR="00786233" w:rsidRDefault="00CA0B92" w:rsidP="003A2FAF">
      <w:pPr>
        <w:pStyle w:val="3"/>
        <w:rPr>
          <w:rFonts w:asciiTheme="minorEastAsia" w:eastAsiaTheme="minorEastAsia" w:hAnsiTheme="minorEastAsia" w:cs="宋体"/>
        </w:rPr>
      </w:pPr>
      <w:r>
        <w:rPr>
          <w:rFonts w:hint="eastAsia"/>
        </w:rPr>
        <w:t>11.1.2 采收</w:t>
      </w:r>
    </w:p>
    <w:p w:rsidR="00786233" w:rsidRDefault="00CA0B92" w:rsidP="009E7223">
      <w:pPr>
        <w:pStyle w:val="10"/>
        <w:adjustRightInd w:val="0"/>
        <w:snapToGrid w:val="0"/>
        <w:spacing w:line="360" w:lineRule="auto"/>
        <w:rPr>
          <w:rFonts w:asciiTheme="minorEastAsia" w:eastAsiaTheme="minorEastAsia" w:hAnsiTheme="minorEastAsia"/>
        </w:rPr>
      </w:pPr>
      <w:r>
        <w:rPr>
          <w:rFonts w:ascii="宋体" w:hAnsi="宋体" w:hint="eastAsia"/>
          <w:color w:val="000000"/>
          <w:szCs w:val="20"/>
        </w:rPr>
        <w:t>采收前准备采摘、盛果工具，运输车辆及存放场地；</w:t>
      </w:r>
      <w:r>
        <w:rPr>
          <w:rFonts w:ascii="宋体" w:hAnsi="宋体"/>
        </w:rPr>
        <w:t>根据</w:t>
      </w:r>
      <w:r>
        <w:rPr>
          <w:rFonts w:asciiTheme="minorEastAsia" w:eastAsiaTheme="minorEastAsia" w:hAnsiTheme="minorEastAsia" w:hint="eastAsia"/>
        </w:rPr>
        <w:t>成熟期、</w:t>
      </w:r>
      <w:r>
        <w:rPr>
          <w:rFonts w:ascii="宋体" w:hAnsi="宋体"/>
        </w:rPr>
        <w:t>果实成熟度、用途和市场需求综合确定采收</w:t>
      </w:r>
      <w:r>
        <w:rPr>
          <w:rFonts w:asciiTheme="minorEastAsia" w:eastAsiaTheme="minorEastAsia" w:hAnsiTheme="minorEastAsia" w:hint="eastAsia"/>
        </w:rPr>
        <w:t>时间；果实</w:t>
      </w:r>
      <w:r>
        <w:rPr>
          <w:rFonts w:ascii="宋体" w:hAnsi="宋体" w:hint="eastAsia"/>
          <w:color w:val="000000"/>
          <w:szCs w:val="20"/>
        </w:rPr>
        <w:t>主要采用人工采摘，按先冠外后冠内、先下层后上层的顺序进行</w:t>
      </w:r>
      <w:r>
        <w:rPr>
          <w:rFonts w:asciiTheme="minorEastAsia" w:eastAsiaTheme="minorEastAsia" w:hAnsiTheme="minorEastAsia" w:hint="eastAsia"/>
          <w:color w:val="000000"/>
          <w:szCs w:val="20"/>
        </w:rPr>
        <w:t>，</w:t>
      </w:r>
      <w:r>
        <w:rPr>
          <w:rFonts w:ascii="宋体" w:hAnsi="宋体"/>
        </w:rPr>
        <w:t>采收</w:t>
      </w:r>
      <w:r>
        <w:rPr>
          <w:rFonts w:asciiTheme="minorEastAsia" w:eastAsiaTheme="minorEastAsia" w:hAnsiTheme="minorEastAsia" w:hint="eastAsia"/>
        </w:rPr>
        <w:t>时</w:t>
      </w:r>
      <w:r>
        <w:rPr>
          <w:rFonts w:ascii="宋体" w:hAnsi="宋体"/>
        </w:rPr>
        <w:t>轻拿轻放，确保果实无划伤、扎伤、碰伤及磨伤，避免挤压</w:t>
      </w:r>
      <w:r>
        <w:rPr>
          <w:rFonts w:ascii="宋体" w:hAnsi="宋体" w:hint="eastAsia"/>
        </w:rPr>
        <w:t>，</w:t>
      </w:r>
      <w:r>
        <w:rPr>
          <w:rFonts w:ascii="宋体" w:hAnsi="宋体"/>
        </w:rPr>
        <w:t>采后宜放在荫凉处，避免阳光直射。</w:t>
      </w:r>
    </w:p>
    <w:p w:rsidR="00786233" w:rsidRDefault="00CA0B92" w:rsidP="003A2FAF">
      <w:pPr>
        <w:pStyle w:val="3"/>
      </w:pPr>
      <w:r>
        <w:rPr>
          <w:rFonts w:hint="eastAsia"/>
        </w:rPr>
        <w:t>11.1.3 产品分级</w:t>
      </w:r>
    </w:p>
    <w:p w:rsidR="00786233" w:rsidRDefault="00CA0B92" w:rsidP="009E7223">
      <w:pPr>
        <w:pStyle w:val="10"/>
        <w:adjustRightInd w:val="0"/>
        <w:snapToGrid w:val="0"/>
        <w:spacing w:line="360" w:lineRule="auto"/>
        <w:rPr>
          <w:rFonts w:ascii="宋体" w:hAnsi="宋体"/>
        </w:rPr>
      </w:pPr>
      <w:r>
        <w:rPr>
          <w:rFonts w:ascii="宋体" w:hAnsi="宋体" w:hint="eastAsia"/>
        </w:rPr>
        <w:t>产品分级可按NY/T 696执行。</w:t>
      </w:r>
    </w:p>
    <w:p w:rsidR="00786233" w:rsidRPr="003A2FAF" w:rsidRDefault="00CA0B92" w:rsidP="003A2FAF">
      <w:pPr>
        <w:pStyle w:val="2"/>
        <w:rPr>
          <w:rFonts w:hint="default"/>
        </w:rPr>
      </w:pPr>
      <w:r>
        <w:t>11.2 包装</w:t>
      </w:r>
    </w:p>
    <w:p w:rsidR="00786233" w:rsidRDefault="00CA0B92" w:rsidP="009E7223">
      <w:pPr>
        <w:pStyle w:val="10"/>
        <w:adjustRightInd w:val="0"/>
        <w:snapToGrid w:val="0"/>
        <w:spacing w:line="360" w:lineRule="auto"/>
        <w:rPr>
          <w:rFonts w:ascii="黑体" w:eastAsia="黑体" w:hAnsi="黑体" w:cs="黑体"/>
        </w:rPr>
      </w:pPr>
      <w:r>
        <w:rPr>
          <w:rFonts w:asciiTheme="majorEastAsia" w:eastAsiaTheme="majorEastAsia" w:hAnsiTheme="majorEastAsia" w:cstheme="majorEastAsia" w:hint="eastAsia"/>
          <w:szCs w:val="22"/>
        </w:rPr>
        <w:lastRenderedPageBreak/>
        <w:t>包装应符合NY/T 658的规定。标注产品名称、执行标准、生产单位名称、产地、联系方式等信息，标签上的字迹应清晰、完整、准确。</w:t>
      </w:r>
    </w:p>
    <w:p w:rsidR="00786233" w:rsidRPr="003A2FAF" w:rsidRDefault="003A2FAF" w:rsidP="003A2FAF">
      <w:pPr>
        <w:pStyle w:val="2"/>
        <w:rPr>
          <w:rFonts w:hint="default"/>
        </w:rPr>
      </w:pPr>
      <w:r>
        <w:t>11.3</w:t>
      </w:r>
      <w:r w:rsidR="00CA0B92">
        <w:t xml:space="preserve"> 储藏和运输</w:t>
      </w:r>
    </w:p>
    <w:p w:rsidR="00786233" w:rsidRPr="003A2FAF" w:rsidRDefault="003A2FAF" w:rsidP="003A2FAF">
      <w:pPr>
        <w:pStyle w:val="3"/>
      </w:pPr>
      <w:r>
        <w:rPr>
          <w:rFonts w:hint="eastAsia"/>
        </w:rPr>
        <w:t xml:space="preserve">11.3.1 </w:t>
      </w:r>
      <w:r w:rsidR="00CA0B92">
        <w:rPr>
          <w:rFonts w:hint="eastAsia"/>
        </w:rPr>
        <w:t>储藏</w:t>
      </w:r>
    </w:p>
    <w:p w:rsidR="00786233" w:rsidRDefault="00CA0B92" w:rsidP="009E7223">
      <w:pPr>
        <w:pStyle w:val="10"/>
        <w:widowControl/>
        <w:adjustRightInd w:val="0"/>
        <w:snapToGrid w:val="0"/>
        <w:spacing w:line="360" w:lineRule="auto"/>
        <w:jc w:val="lef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储藏场地或库</w:t>
      </w:r>
      <w:r>
        <w:rPr>
          <w:rFonts w:asciiTheme="minorEastAsia" w:eastAsiaTheme="minorEastAsia" w:hAnsiTheme="minorEastAsia" w:hint="eastAsia"/>
        </w:rPr>
        <w:t>房应</w:t>
      </w:r>
      <w:r>
        <w:rPr>
          <w:rFonts w:ascii="宋体" w:hAnsi="宋体" w:hint="eastAsia"/>
          <w:color w:val="000000"/>
          <w:szCs w:val="20"/>
        </w:rPr>
        <w:t>清洁干燥</w:t>
      </w:r>
      <w:r>
        <w:rPr>
          <w:rFonts w:asciiTheme="minorEastAsia" w:eastAsiaTheme="minorEastAsia" w:hAnsiTheme="minorEastAsia" w:hint="eastAsia"/>
          <w:color w:val="000000"/>
          <w:szCs w:val="20"/>
        </w:rPr>
        <w:t>，通风换气，防晒防雨，不与其他物品混存，</w:t>
      </w:r>
      <w:r>
        <w:rPr>
          <w:rFonts w:asciiTheme="minorEastAsia" w:eastAsiaTheme="minorEastAsia" w:hAnsiTheme="minorEastAsia" w:hint="eastAsia"/>
        </w:rPr>
        <w:t>符合N</w:t>
      </w:r>
      <w:r>
        <w:rPr>
          <w:rFonts w:asciiTheme="minorEastAsia" w:eastAsiaTheme="minorEastAsia" w:hAnsiTheme="minorEastAsia" w:hint="eastAsia"/>
          <w:color w:val="000000"/>
          <w:szCs w:val="20"/>
        </w:rPr>
        <w:t>Y/T 1056规定要求。</w:t>
      </w:r>
    </w:p>
    <w:p w:rsidR="00786233" w:rsidRPr="003A2FAF" w:rsidRDefault="00CA0B92" w:rsidP="003A2FAF">
      <w:pPr>
        <w:pStyle w:val="4"/>
      </w:pPr>
      <w:r>
        <w:t>11.3.1.</w:t>
      </w:r>
      <w:r w:rsidR="003A2FAF">
        <w:rPr>
          <w:rFonts w:hint="eastAsia"/>
        </w:rPr>
        <w:t xml:space="preserve">1 </w:t>
      </w:r>
      <w:r>
        <w:t>预冷</w:t>
      </w:r>
    </w:p>
    <w:p w:rsidR="00786233" w:rsidRDefault="00CA0B92" w:rsidP="009E7223">
      <w:pPr>
        <w:pStyle w:val="10"/>
        <w:widowControl/>
        <w:adjustRightInd w:val="0"/>
        <w:snapToGrid w:val="0"/>
        <w:spacing w:line="360" w:lineRule="auto"/>
        <w:jc w:val="left"/>
        <w:rPr>
          <w:rFonts w:asciiTheme="minorEastAsia" w:eastAsiaTheme="minorEastAsia" w:hAnsiTheme="minorEastAsia"/>
          <w:color w:val="000000"/>
          <w:szCs w:val="20"/>
        </w:rPr>
      </w:pPr>
      <w:r>
        <w:rPr>
          <w:rFonts w:asciiTheme="minorEastAsia" w:eastAsiaTheme="minorEastAsia" w:hAnsiTheme="minorEastAsia" w:hint="eastAsia"/>
          <w:color w:val="000000"/>
          <w:szCs w:val="20"/>
        </w:rPr>
        <w:t>一般在果实采收后</w:t>
      </w:r>
      <w:r>
        <w:rPr>
          <w:rFonts w:asciiTheme="minorEastAsia" w:eastAsiaTheme="minorEastAsia" w:hAnsiTheme="minorEastAsia"/>
          <w:color w:val="000000"/>
          <w:szCs w:val="20"/>
        </w:rPr>
        <w:t>4小时内入库预冷，若集中入库时，每次入库不超过库容积的25%～30%</w:t>
      </w:r>
      <w:r>
        <w:rPr>
          <w:rFonts w:asciiTheme="minorEastAsia" w:eastAsiaTheme="minorEastAsia" w:hAnsiTheme="minorEastAsia" w:hint="eastAsia"/>
          <w:color w:val="000000"/>
          <w:szCs w:val="20"/>
        </w:rPr>
        <w:t>；</w:t>
      </w:r>
      <w:r>
        <w:rPr>
          <w:rFonts w:asciiTheme="minorEastAsia" w:eastAsiaTheme="minorEastAsia" w:hAnsiTheme="minorEastAsia"/>
          <w:color w:val="000000"/>
          <w:szCs w:val="20"/>
        </w:rPr>
        <w:t xml:space="preserve">预冷温度0℃～2℃。 </w:t>
      </w:r>
    </w:p>
    <w:p w:rsidR="00786233" w:rsidRDefault="00CA0B92" w:rsidP="003A2FAF">
      <w:pPr>
        <w:pStyle w:val="4"/>
      </w:pPr>
      <w:r>
        <w:rPr>
          <w:rFonts w:hint="eastAsia"/>
        </w:rPr>
        <w:t>11.3.1.2 垛码</w:t>
      </w:r>
    </w:p>
    <w:p w:rsidR="00786233" w:rsidRDefault="00CA0B92" w:rsidP="009E7223">
      <w:pPr>
        <w:pStyle w:val="10"/>
        <w:widowControl/>
        <w:adjustRightInd w:val="0"/>
        <w:snapToGrid w:val="0"/>
        <w:spacing w:line="360" w:lineRule="auto"/>
        <w:jc w:val="left"/>
        <w:rPr>
          <w:rFonts w:asciiTheme="minorEastAsia" w:hAnsiTheme="minorEastAsia"/>
          <w:color w:val="000000"/>
          <w:szCs w:val="20"/>
        </w:rPr>
      </w:pPr>
      <w:r>
        <w:rPr>
          <w:rFonts w:asciiTheme="minorEastAsia" w:eastAsiaTheme="minorEastAsia" w:hAnsiTheme="minorEastAsia" w:hint="eastAsia"/>
          <w:color w:val="000000"/>
          <w:szCs w:val="20"/>
        </w:rPr>
        <w:t>杏果实运到冷库后，库中堆垛应排列整齐、牢固；堆垛底部用枕木垫起，各果箱间应留有</w:t>
      </w:r>
      <w:r>
        <w:rPr>
          <w:rFonts w:asciiTheme="minorEastAsia" w:eastAsiaTheme="minorEastAsia" w:hAnsiTheme="minorEastAsia"/>
          <w:color w:val="000000"/>
          <w:szCs w:val="20"/>
        </w:rPr>
        <w:t>2cm～5cm</w:t>
      </w:r>
      <w:r>
        <w:rPr>
          <w:rFonts w:asciiTheme="minorEastAsia" w:eastAsiaTheme="minorEastAsia" w:hAnsiTheme="minorEastAsia" w:hint="eastAsia"/>
          <w:color w:val="000000"/>
          <w:szCs w:val="20"/>
        </w:rPr>
        <w:t>的空隙；堆放高度以箱子的压缩强度而定，垛距离墙壁、进气孔等处应留有</w:t>
      </w:r>
      <w:r>
        <w:rPr>
          <w:rFonts w:asciiTheme="minorEastAsia" w:eastAsiaTheme="minorEastAsia" w:hAnsiTheme="minorEastAsia"/>
          <w:color w:val="000000"/>
          <w:szCs w:val="20"/>
        </w:rPr>
        <w:t>30cm左右的空隙，并留出人</w:t>
      </w:r>
      <w:r>
        <w:rPr>
          <w:rFonts w:asciiTheme="minorEastAsia" w:eastAsiaTheme="minorEastAsia" w:hAnsiTheme="minorEastAsia" w:hint="eastAsia"/>
          <w:color w:val="000000"/>
          <w:szCs w:val="20"/>
        </w:rPr>
        <w:t>行通道。</w:t>
      </w:r>
      <w:r>
        <w:rPr>
          <w:rFonts w:asciiTheme="minorEastAsia" w:eastAsiaTheme="minorEastAsia" w:hAnsiTheme="minorEastAsia"/>
          <w:color w:val="000000"/>
          <w:szCs w:val="20"/>
        </w:rPr>
        <w:t xml:space="preserve"> </w:t>
      </w:r>
    </w:p>
    <w:p w:rsidR="00786233" w:rsidRDefault="00CA0B92" w:rsidP="003A2FAF">
      <w:pPr>
        <w:pStyle w:val="4"/>
      </w:pPr>
      <w:r>
        <w:t>11.3.1.</w:t>
      </w:r>
      <w:r>
        <w:rPr>
          <w:rFonts w:hint="eastAsia"/>
        </w:rPr>
        <w:t>3</w:t>
      </w:r>
      <w:r>
        <w:t xml:space="preserve"> </w:t>
      </w:r>
      <w:r>
        <w:rPr>
          <w:rFonts w:hint="eastAsia"/>
        </w:rPr>
        <w:t>库内</w:t>
      </w:r>
      <w:r>
        <w:t>温度</w:t>
      </w:r>
      <w:r>
        <w:rPr>
          <w:rFonts w:hint="eastAsia"/>
        </w:rPr>
        <w:t>、湿度</w:t>
      </w:r>
    </w:p>
    <w:p w:rsidR="00786233" w:rsidRDefault="00CA0B92" w:rsidP="009E7223">
      <w:pPr>
        <w:pStyle w:val="10"/>
        <w:widowControl/>
        <w:adjustRightInd w:val="0"/>
        <w:snapToGrid w:val="0"/>
        <w:spacing w:line="360" w:lineRule="auto"/>
        <w:jc w:val="left"/>
        <w:rPr>
          <w:rFonts w:asciiTheme="minorEastAsia" w:hAnsiTheme="minorEastAsia"/>
          <w:color w:val="000000"/>
          <w:szCs w:val="20"/>
        </w:rPr>
      </w:pPr>
      <w:r>
        <w:rPr>
          <w:rFonts w:asciiTheme="minorEastAsia" w:eastAsiaTheme="minorEastAsia" w:hAnsiTheme="minorEastAsia" w:hint="eastAsia"/>
          <w:color w:val="000000"/>
          <w:szCs w:val="20"/>
        </w:rPr>
        <w:t>库内</w:t>
      </w:r>
      <w:r>
        <w:rPr>
          <w:rFonts w:asciiTheme="minorEastAsia" w:eastAsiaTheme="minorEastAsia" w:hAnsiTheme="minorEastAsia"/>
          <w:color w:val="000000"/>
          <w:szCs w:val="20"/>
        </w:rPr>
        <w:t>温度</w:t>
      </w:r>
      <w:r>
        <w:rPr>
          <w:rFonts w:asciiTheme="minorEastAsia" w:eastAsiaTheme="minorEastAsia" w:hAnsiTheme="minorEastAsia" w:hint="eastAsia"/>
          <w:color w:val="000000"/>
          <w:szCs w:val="20"/>
        </w:rPr>
        <w:t>宜控制在</w:t>
      </w:r>
      <w:r>
        <w:rPr>
          <w:rFonts w:asciiTheme="minorEastAsia" w:eastAsiaTheme="minorEastAsia" w:hAnsiTheme="minorEastAsia"/>
          <w:color w:val="000000"/>
          <w:szCs w:val="20"/>
        </w:rPr>
        <w:t>0℃～2℃</w:t>
      </w:r>
      <w:r>
        <w:rPr>
          <w:rFonts w:asciiTheme="minorEastAsia" w:eastAsiaTheme="minorEastAsia" w:hAnsiTheme="minorEastAsia" w:hint="eastAsia"/>
          <w:color w:val="000000"/>
          <w:szCs w:val="20"/>
        </w:rPr>
        <w:t>，</w:t>
      </w:r>
      <w:r w:rsidR="001478F4">
        <w:rPr>
          <w:rFonts w:asciiTheme="minorEastAsia" w:eastAsiaTheme="minorEastAsia" w:hAnsiTheme="minorEastAsia" w:hint="eastAsia"/>
          <w:color w:val="000000"/>
          <w:szCs w:val="20"/>
        </w:rPr>
        <w:t>储</w:t>
      </w:r>
      <w:r>
        <w:rPr>
          <w:rFonts w:asciiTheme="minorEastAsia" w:eastAsiaTheme="minorEastAsia" w:hAnsiTheme="minorEastAsia"/>
          <w:color w:val="000000"/>
          <w:szCs w:val="20"/>
        </w:rPr>
        <w:t>藏期间宜尽量保持库温稳定，变幅不宜超过±0.5℃</w:t>
      </w:r>
      <w:r>
        <w:rPr>
          <w:rFonts w:asciiTheme="minorEastAsia" w:eastAsiaTheme="minorEastAsia" w:hAnsiTheme="minorEastAsia" w:hint="eastAsia"/>
          <w:color w:val="000000"/>
          <w:szCs w:val="20"/>
        </w:rPr>
        <w:t>；相对湿度应保持在</w:t>
      </w:r>
      <w:r>
        <w:rPr>
          <w:rFonts w:asciiTheme="minorEastAsia" w:eastAsiaTheme="minorEastAsia" w:hAnsiTheme="minorEastAsia"/>
          <w:color w:val="000000"/>
          <w:szCs w:val="20"/>
        </w:rPr>
        <w:t>90%～95%。</w:t>
      </w:r>
    </w:p>
    <w:p w:rsidR="00786233" w:rsidRDefault="00CA0B92" w:rsidP="003A2FAF">
      <w:pPr>
        <w:pStyle w:val="4"/>
      </w:pPr>
      <w:r>
        <w:rPr>
          <w:rFonts w:hint="eastAsia"/>
        </w:rPr>
        <w:t>11.3.1.4  通风</w:t>
      </w:r>
    </w:p>
    <w:p w:rsidR="00786233" w:rsidRDefault="00CA0B92" w:rsidP="009E7223">
      <w:pPr>
        <w:pStyle w:val="10"/>
        <w:adjustRightInd w:val="0"/>
        <w:snapToGrid w:val="0"/>
        <w:spacing w:line="360" w:lineRule="auto"/>
        <w:rPr>
          <w:rFonts w:asciiTheme="minorEastAsia" w:eastAsiaTheme="minorEastAsia" w:hAnsiTheme="minorEastAsia"/>
          <w:color w:val="000000"/>
          <w:szCs w:val="20"/>
        </w:rPr>
      </w:pPr>
      <w:r>
        <w:rPr>
          <w:rFonts w:asciiTheme="minorEastAsia" w:eastAsiaTheme="minorEastAsia" w:hAnsiTheme="minorEastAsia" w:hint="eastAsia"/>
          <w:color w:val="000000"/>
          <w:szCs w:val="20"/>
        </w:rPr>
        <w:t>应在库内外温差最小时进行。</w:t>
      </w:r>
    </w:p>
    <w:p w:rsidR="00786233" w:rsidRDefault="00CA0B92" w:rsidP="003A2FAF">
      <w:pPr>
        <w:pStyle w:val="3"/>
      </w:pPr>
      <w:r>
        <w:rPr>
          <w:rFonts w:hint="eastAsia"/>
        </w:rPr>
        <w:t>11.3.2  运输</w:t>
      </w:r>
    </w:p>
    <w:p w:rsidR="00786233" w:rsidRDefault="00CA0B92" w:rsidP="009E7223">
      <w:pPr>
        <w:pStyle w:val="10"/>
        <w:adjustRightInd w:val="0"/>
        <w:snapToGrid w:val="0"/>
        <w:spacing w:line="360" w:lineRule="auto"/>
        <w:rPr>
          <w:color w:val="000000"/>
          <w:szCs w:val="20"/>
        </w:rPr>
      </w:pPr>
      <w:r>
        <w:rPr>
          <w:rFonts w:asciiTheme="minorEastAsia" w:eastAsiaTheme="minorEastAsia" w:hAnsiTheme="minorEastAsia" w:hint="eastAsia"/>
        </w:rPr>
        <w:t>运输工具</w:t>
      </w:r>
      <w:r>
        <w:rPr>
          <w:rFonts w:ascii="宋体" w:hAnsi="宋体" w:hint="eastAsia"/>
          <w:color w:val="000000"/>
          <w:szCs w:val="20"/>
        </w:rPr>
        <w:t>清洁卫生</w:t>
      </w:r>
      <w:r>
        <w:rPr>
          <w:rFonts w:asciiTheme="minorEastAsia" w:eastAsiaTheme="minorEastAsia" w:hAnsiTheme="minorEastAsia" w:hint="eastAsia"/>
          <w:color w:val="000000"/>
          <w:szCs w:val="20"/>
        </w:rPr>
        <w:t>，不与有害物质混装混运，</w:t>
      </w:r>
      <w:r>
        <w:rPr>
          <w:rFonts w:asciiTheme="minorEastAsia" w:eastAsiaTheme="minorEastAsia" w:hAnsiTheme="minorEastAsia" w:hint="eastAsia"/>
        </w:rPr>
        <w:t>符合N</w:t>
      </w:r>
      <w:r>
        <w:rPr>
          <w:rFonts w:asciiTheme="minorEastAsia" w:eastAsiaTheme="minorEastAsia" w:hAnsiTheme="minorEastAsia" w:hint="eastAsia"/>
          <w:color w:val="000000"/>
          <w:szCs w:val="20"/>
        </w:rPr>
        <w:t>Y/T 1056规定要求。如</w:t>
      </w:r>
      <w:r>
        <w:rPr>
          <w:rFonts w:hint="eastAsia"/>
          <w:color w:val="000000"/>
          <w:szCs w:val="20"/>
        </w:rPr>
        <w:t>采用冷链运输，冷藏车内温度宜控制在</w:t>
      </w:r>
      <w:r>
        <w:rPr>
          <w:rFonts w:hint="eastAsia"/>
          <w:color w:val="000000"/>
          <w:szCs w:val="20"/>
        </w:rPr>
        <w:t>0</w:t>
      </w:r>
      <w:r>
        <w:rPr>
          <w:rFonts w:hint="eastAsia"/>
          <w:color w:val="000000"/>
          <w:szCs w:val="20"/>
        </w:rPr>
        <w:t>℃～</w:t>
      </w:r>
      <w:r>
        <w:rPr>
          <w:rFonts w:hint="eastAsia"/>
          <w:color w:val="000000"/>
          <w:szCs w:val="20"/>
        </w:rPr>
        <w:t>5</w:t>
      </w:r>
      <w:r>
        <w:rPr>
          <w:rFonts w:hint="eastAsia"/>
          <w:color w:val="000000"/>
          <w:szCs w:val="20"/>
        </w:rPr>
        <w:t>℃低温运输，相对湿度控制在</w:t>
      </w:r>
      <w:r>
        <w:rPr>
          <w:rFonts w:hint="eastAsia"/>
          <w:color w:val="000000"/>
          <w:szCs w:val="20"/>
        </w:rPr>
        <w:t>90%</w:t>
      </w:r>
      <w:r>
        <w:rPr>
          <w:rFonts w:hint="eastAsia"/>
          <w:color w:val="000000"/>
          <w:szCs w:val="20"/>
        </w:rPr>
        <w:t>～</w:t>
      </w:r>
      <w:r>
        <w:rPr>
          <w:rFonts w:hint="eastAsia"/>
          <w:color w:val="000000"/>
          <w:szCs w:val="20"/>
        </w:rPr>
        <w:t>95%</w:t>
      </w:r>
      <w:r>
        <w:rPr>
          <w:rFonts w:hint="eastAsia"/>
          <w:color w:val="000000"/>
          <w:szCs w:val="20"/>
        </w:rPr>
        <w:t>。长途运输中应注意通风换气。</w:t>
      </w:r>
    </w:p>
    <w:p w:rsidR="00786233" w:rsidRDefault="00CA0B92" w:rsidP="003A2FAF">
      <w:pPr>
        <w:pStyle w:val="1"/>
        <w:rPr>
          <w:rFonts w:hint="default"/>
        </w:rPr>
      </w:pPr>
      <w:r>
        <w:rPr>
          <w:color w:val="000000"/>
          <w:szCs w:val="20"/>
        </w:rPr>
        <w:t xml:space="preserve">12  </w:t>
      </w:r>
      <w:r>
        <w:t>生产废弃物处理</w:t>
      </w:r>
    </w:p>
    <w:p w:rsidR="00786233" w:rsidRPr="00524370" w:rsidRDefault="00CA0B92" w:rsidP="00524370">
      <w:pPr>
        <w:pStyle w:val="10"/>
        <w:adjustRightInd w:val="0"/>
        <w:snapToGrid w:val="0"/>
        <w:spacing w:line="360" w:lineRule="auto"/>
        <w:rPr>
          <w:rFonts w:asciiTheme="minorEastAsia" w:eastAsiaTheme="minorEastAsia" w:hAnsiTheme="minorEastAsia"/>
          <w:color w:val="000000"/>
          <w:szCs w:val="20"/>
        </w:rPr>
      </w:pPr>
      <w:r w:rsidRPr="00524370">
        <w:rPr>
          <w:rFonts w:asciiTheme="minorEastAsia" w:eastAsiaTheme="minorEastAsia" w:hAnsiTheme="minorEastAsia" w:hint="eastAsia"/>
          <w:color w:val="000000"/>
          <w:szCs w:val="20"/>
        </w:rPr>
        <w:t>提倡生产废弃物进行资源化重新利用，及时清理并统一回收废旧地膜、农药及肥料包装等；植株残体宜采用高温发酵堆沤等无害化技术处理，避免污染环境。</w:t>
      </w:r>
    </w:p>
    <w:p w:rsidR="00786233" w:rsidRDefault="00CA0B92" w:rsidP="003A2FAF">
      <w:pPr>
        <w:pStyle w:val="1"/>
        <w:rPr>
          <w:rFonts w:hint="default"/>
        </w:rPr>
      </w:pPr>
      <w:r>
        <w:t>13  生产档案管理</w:t>
      </w:r>
    </w:p>
    <w:p w:rsidR="00786233" w:rsidRDefault="00CA0B92" w:rsidP="009E7223">
      <w:pPr>
        <w:adjustRightInd w:val="0"/>
        <w:snapToGrid w:val="0"/>
        <w:spacing w:line="360" w:lineRule="auto"/>
        <w:ind w:firstLineChars="200" w:firstLine="420"/>
      </w:pPr>
      <w:r>
        <w:rPr>
          <w:rFonts w:ascii="宋体" w:hAnsi="宋体" w:cs="宋体" w:hint="eastAsia"/>
        </w:rPr>
        <w:t>建立</w:t>
      </w:r>
      <w:r>
        <w:rPr>
          <w:rFonts w:ascii="宋体" w:hAnsi="Times New Roman" w:hint="eastAsia"/>
          <w:kern w:val="0"/>
          <w:szCs w:val="20"/>
        </w:rPr>
        <w:t>绿色食品杏</w:t>
      </w:r>
      <w:r>
        <w:rPr>
          <w:rFonts w:ascii="宋体" w:hAnsi="宋体" w:cs="宋体" w:hint="eastAsia"/>
        </w:rPr>
        <w:t>生产档案，详细记录</w:t>
      </w:r>
      <w:r>
        <w:rPr>
          <w:rFonts w:ascii="宋体" w:hAnsi="Times New Roman" w:hint="eastAsia"/>
          <w:kern w:val="0"/>
          <w:szCs w:val="20"/>
        </w:rPr>
        <w:t>产地环境条件、生产资料使用、土肥水管理、病虫草害防治、采收储运、批次编码等信息，实现全程质量追溯管理。档案资料应保存</w:t>
      </w:r>
      <w:r>
        <w:rPr>
          <w:rFonts w:ascii="宋体" w:hAnsi="宋体" w:hint="eastAsia"/>
          <w:kern w:val="24"/>
          <w:szCs w:val="20"/>
        </w:rPr>
        <w:t>3</w:t>
      </w:r>
      <w:r>
        <w:rPr>
          <w:rFonts w:ascii="宋体" w:hAnsi="Times New Roman" w:hint="eastAsia"/>
          <w:kern w:val="0"/>
          <w:szCs w:val="20"/>
        </w:rPr>
        <w:t>年以上。</w:t>
      </w:r>
    </w:p>
    <w:p w:rsidR="00786233" w:rsidRDefault="00CA0B92">
      <w:pPr>
        <w:jc w:val="left"/>
        <w:rPr>
          <w:rFonts w:ascii="黑体" w:eastAsia="黑体" w:hAnsi="Times New Roman" w:cs="Times New Roman"/>
          <w:kern w:val="0"/>
          <w:szCs w:val="21"/>
        </w:rPr>
      </w:pPr>
      <w:r>
        <w:rPr>
          <w:rFonts w:ascii="黑体" w:eastAsia="黑体" w:hAnsi="Times New Roman" w:cs="Times New Roman"/>
          <w:kern w:val="0"/>
          <w:szCs w:val="21"/>
        </w:rPr>
        <w:br w:type="page"/>
      </w:r>
    </w:p>
    <w:p w:rsidR="00786233" w:rsidRDefault="00CA0B92" w:rsidP="003A2FAF">
      <w:pPr>
        <w:pStyle w:val="1"/>
        <w:jc w:val="center"/>
        <w:rPr>
          <w:rFonts w:hint="default"/>
        </w:rPr>
      </w:pPr>
      <w:r>
        <w:lastRenderedPageBreak/>
        <w:t>附录A</w:t>
      </w:r>
    </w:p>
    <w:p w:rsidR="00786233" w:rsidRDefault="00CA0B92" w:rsidP="003A2FAF">
      <w:pPr>
        <w:adjustRightInd w:val="0"/>
        <w:snapToGrid w:val="0"/>
        <w:spacing w:line="360" w:lineRule="auto"/>
        <w:jc w:val="center"/>
        <w:rPr>
          <w:rFonts w:ascii="黑体" w:eastAsia="黑体" w:hAnsi="Times New Roman" w:cs="Times New Roman"/>
          <w:kern w:val="0"/>
          <w:szCs w:val="21"/>
        </w:rPr>
      </w:pPr>
      <w:r>
        <w:rPr>
          <w:rFonts w:ascii="黑体" w:eastAsia="黑体" w:hAnsi="Times New Roman" w:cs="Times New Roman" w:hint="eastAsia"/>
          <w:kern w:val="0"/>
          <w:szCs w:val="21"/>
        </w:rPr>
        <w:t>（资料性附录）</w:t>
      </w:r>
    </w:p>
    <w:p w:rsidR="00786233" w:rsidRDefault="00CA0B92" w:rsidP="003A2FAF">
      <w:pPr>
        <w:adjustRightInd w:val="0"/>
        <w:snapToGrid w:val="0"/>
        <w:spacing w:line="360" w:lineRule="auto"/>
        <w:jc w:val="center"/>
        <w:rPr>
          <w:rFonts w:ascii="黑体" w:eastAsia="黑体" w:hAnsi="Times New Roman" w:cs="Times New Roman"/>
          <w:kern w:val="0"/>
          <w:szCs w:val="21"/>
        </w:rPr>
      </w:pPr>
      <w:r>
        <w:rPr>
          <w:rFonts w:ascii="黑体" w:eastAsia="黑体" w:hAnsi="Times New Roman" w:cs="Times New Roman" w:hint="eastAsia"/>
          <w:kern w:val="0"/>
          <w:szCs w:val="21"/>
        </w:rPr>
        <w:t>绿色食品杏生产主要病虫害防治推荐农药使用方案</w:t>
      </w:r>
    </w:p>
    <w:p w:rsidR="00786233" w:rsidRDefault="00786233">
      <w:pPr>
        <w:spacing w:line="400" w:lineRule="atLeast"/>
        <w:ind w:firstLineChars="200" w:firstLine="420"/>
        <w:contextualSpacing/>
        <w:jc w:val="center"/>
        <w:rPr>
          <w:rFonts w:ascii="黑体" w:eastAsia="黑体" w:hAnsi="Times New Roman" w:cs="Times New Roman"/>
          <w:kern w:val="0"/>
          <w:szCs w:val="21"/>
        </w:rPr>
      </w:pPr>
    </w:p>
    <w:p w:rsidR="00786233" w:rsidRDefault="00CA0B92">
      <w:pPr>
        <w:spacing w:line="400" w:lineRule="atLeast"/>
        <w:ind w:firstLineChars="200" w:firstLine="420"/>
        <w:contextualSpacing/>
        <w:jc w:val="left"/>
        <w:rPr>
          <w:rFonts w:ascii="黑体" w:eastAsia="黑体" w:hAnsi="Times New Roman" w:cs="Times New Roman"/>
          <w:kern w:val="0"/>
          <w:szCs w:val="21"/>
        </w:rPr>
      </w:pPr>
      <w:r>
        <w:rPr>
          <w:rFonts w:ascii="宋体" w:eastAsia="宋体" w:hAnsi="宋体" w:hint="eastAsia"/>
        </w:rPr>
        <w:t>绿色食品杏生产主要病虫草害防治推荐方案见表</w:t>
      </w:r>
      <w:r>
        <w:rPr>
          <w:rFonts w:ascii="宋体" w:eastAsia="宋体" w:hAnsi="宋体" w:cs="Times New Roman"/>
          <w:bCs/>
          <w:szCs w:val="21"/>
        </w:rPr>
        <w:t>A.1</w:t>
      </w:r>
      <w:r>
        <w:rPr>
          <w:rFonts w:ascii="宋体" w:eastAsia="宋体" w:hAnsi="宋体" w:cs="Times New Roman" w:hint="eastAsia"/>
          <w:bCs/>
          <w:szCs w:val="21"/>
        </w:rPr>
        <w:t>。</w:t>
      </w:r>
    </w:p>
    <w:p w:rsidR="00786233" w:rsidRDefault="00CA0B92">
      <w:pPr>
        <w:spacing w:line="400" w:lineRule="atLeast"/>
        <w:ind w:firstLineChars="200" w:firstLine="420"/>
        <w:contextualSpacing/>
        <w:jc w:val="center"/>
        <w:rPr>
          <w:rFonts w:ascii="黑体" w:eastAsia="黑体" w:hAnsi="Times New Roman" w:cs="Times New Roman"/>
          <w:kern w:val="0"/>
          <w:szCs w:val="21"/>
        </w:rPr>
      </w:pPr>
      <w:r>
        <w:rPr>
          <w:rFonts w:ascii="黑体" w:eastAsia="黑体" w:hAnsi="黑体" w:cs="黑体" w:hint="eastAsia"/>
          <w:kern w:val="0"/>
          <w:szCs w:val="20"/>
        </w:rPr>
        <w:t>表A.1</w:t>
      </w:r>
      <w:r>
        <w:rPr>
          <w:rFonts w:ascii="Times New Roman" w:eastAsia="黑体" w:hAnsi="Times New Roman" w:cs="Times New Roman"/>
          <w:bCs/>
          <w:szCs w:val="21"/>
        </w:rPr>
        <w:t xml:space="preserve"> </w:t>
      </w:r>
      <w:r>
        <w:rPr>
          <w:rFonts w:ascii="黑体" w:eastAsia="黑体" w:hAnsi="Times New Roman" w:cs="Times New Roman" w:hint="eastAsia"/>
          <w:kern w:val="0"/>
          <w:szCs w:val="21"/>
        </w:rPr>
        <w:t>绿色食品杏生产主要病虫害防治推荐农药使用方案</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1807"/>
        <w:gridCol w:w="1908"/>
        <w:gridCol w:w="1098"/>
        <w:gridCol w:w="1304"/>
      </w:tblGrid>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olor w:val="000000"/>
                <w:kern w:val="0"/>
                <w:szCs w:val="21"/>
              </w:rPr>
              <w:t>防治对象</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olor w:val="000000"/>
                <w:kern w:val="0"/>
                <w:szCs w:val="21"/>
              </w:rPr>
              <w:t>防治时期</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olor w:val="000000"/>
                <w:kern w:val="0"/>
                <w:szCs w:val="21"/>
              </w:rPr>
              <w:t>农药</w:t>
            </w:r>
            <w:r>
              <w:rPr>
                <w:rFonts w:asciiTheme="minorEastAsia" w:hAnsiTheme="minorEastAsia" w:hint="eastAsia"/>
                <w:color w:val="000000"/>
                <w:kern w:val="0"/>
                <w:szCs w:val="21"/>
              </w:rPr>
              <w:t>名称</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olor w:val="000000"/>
                <w:kern w:val="0"/>
                <w:szCs w:val="21"/>
              </w:rPr>
              <w:t>使用量</w:t>
            </w:r>
          </w:p>
        </w:tc>
        <w:tc>
          <w:tcPr>
            <w:tcW w:w="109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使用</w:t>
            </w:r>
            <w:r>
              <w:rPr>
                <w:rFonts w:asciiTheme="minorEastAsia" w:hAnsiTheme="minorEastAsia"/>
                <w:color w:val="000000"/>
                <w:kern w:val="0"/>
                <w:szCs w:val="21"/>
              </w:rPr>
              <w:t>方法</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olor w:val="000000"/>
                <w:kern w:val="0"/>
                <w:szCs w:val="21"/>
              </w:rPr>
              <w:t>安全间隔</w:t>
            </w:r>
            <w:r>
              <w:rPr>
                <w:rFonts w:asciiTheme="minorEastAsia" w:hAnsiTheme="minorEastAsia" w:hint="eastAsia"/>
                <w:color w:val="000000"/>
                <w:kern w:val="0"/>
                <w:szCs w:val="21"/>
              </w:rPr>
              <w:t>期（天）</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白粉病</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发病初期</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50%硫磺悬浮剂</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200</w:t>
            </w:r>
            <w:r>
              <w:rPr>
                <w:rFonts w:asciiTheme="minorEastAsia" w:hAnsiTheme="minorEastAsia" w:cs="Times New Roman"/>
                <w:color w:val="000000"/>
                <w:kern w:val="0"/>
                <w:szCs w:val="21"/>
              </w:rPr>
              <w:t>～</w:t>
            </w:r>
            <w:r>
              <w:rPr>
                <w:rFonts w:asciiTheme="minorEastAsia" w:hAnsiTheme="minorEastAsia" w:hint="eastAsia"/>
                <w:color w:val="000000"/>
                <w:kern w:val="0"/>
                <w:szCs w:val="21"/>
              </w:rPr>
              <w:t>400倍液</w:t>
            </w:r>
          </w:p>
        </w:tc>
        <w:tc>
          <w:tcPr>
            <w:tcW w:w="109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2</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多种病害</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发病初期</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50%多菌灵可湿性粉剂</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500</w:t>
            </w:r>
            <w:r>
              <w:rPr>
                <w:rFonts w:asciiTheme="minorEastAsia" w:hAnsiTheme="minorEastAsia" w:cs="Times New Roman"/>
                <w:color w:val="000000"/>
                <w:kern w:val="0"/>
                <w:szCs w:val="21"/>
              </w:rPr>
              <w:t>～</w:t>
            </w:r>
            <w:r>
              <w:rPr>
                <w:rFonts w:asciiTheme="minorEastAsia" w:hAnsiTheme="minorEastAsia" w:hint="eastAsia"/>
                <w:color w:val="000000"/>
                <w:kern w:val="0"/>
                <w:szCs w:val="21"/>
              </w:rPr>
              <w:t>1000倍液</w:t>
            </w:r>
          </w:p>
        </w:tc>
        <w:tc>
          <w:tcPr>
            <w:tcW w:w="109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28</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梨小食心虫</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越冬代成虫羽化前1周</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梨小性迷向素</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32</w:t>
            </w:r>
            <w:r>
              <w:rPr>
                <w:rFonts w:asciiTheme="minorEastAsia" w:hAnsiTheme="minorEastAsia" w:cs="Times New Roman"/>
                <w:color w:val="000000"/>
                <w:kern w:val="0"/>
                <w:szCs w:val="21"/>
              </w:rPr>
              <w:t>～</w:t>
            </w:r>
            <w:r>
              <w:rPr>
                <w:rFonts w:asciiTheme="minorEastAsia" w:hAnsiTheme="minorEastAsia" w:hint="eastAsia"/>
                <w:color w:val="000000"/>
                <w:kern w:val="0"/>
                <w:szCs w:val="21"/>
              </w:rPr>
              <w:t>44个挥散芯/亩</w:t>
            </w:r>
          </w:p>
        </w:tc>
        <w:tc>
          <w:tcPr>
            <w:tcW w:w="109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悬挂</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介壳虫</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发生初期</w:t>
            </w:r>
          </w:p>
        </w:tc>
        <w:tc>
          <w:tcPr>
            <w:tcW w:w="1807" w:type="dxa"/>
            <w:vAlign w:val="center"/>
          </w:tcPr>
          <w:p w:rsidR="00786233" w:rsidRDefault="00CA0B92" w:rsidP="00524370">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45%</w:t>
            </w:r>
            <w:r w:rsidR="00524370">
              <w:rPr>
                <w:rFonts w:asciiTheme="minorEastAsia" w:hAnsiTheme="minorEastAsia" w:hint="eastAsia"/>
                <w:color w:val="000000"/>
                <w:kern w:val="0"/>
                <w:szCs w:val="21"/>
              </w:rPr>
              <w:t>结晶</w:t>
            </w:r>
            <w:r>
              <w:rPr>
                <w:rFonts w:asciiTheme="minorEastAsia" w:hAnsiTheme="minorEastAsia" w:hint="eastAsia"/>
                <w:color w:val="000000"/>
                <w:kern w:val="0"/>
                <w:szCs w:val="21"/>
              </w:rPr>
              <w:t>石硫合剂</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300</w:t>
            </w:r>
            <w:r>
              <w:rPr>
                <w:rFonts w:asciiTheme="minorEastAsia" w:hAnsiTheme="minorEastAsia" w:cs="Times New Roman"/>
                <w:color w:val="000000"/>
                <w:kern w:val="0"/>
                <w:szCs w:val="21"/>
              </w:rPr>
              <w:t>～</w:t>
            </w:r>
            <w:r>
              <w:rPr>
                <w:rFonts w:asciiTheme="minorEastAsia" w:hAnsiTheme="minorEastAsia" w:hint="eastAsia"/>
                <w:color w:val="000000"/>
                <w:kern w:val="0"/>
                <w:szCs w:val="21"/>
              </w:rPr>
              <w:t>400倍液</w:t>
            </w:r>
          </w:p>
        </w:tc>
        <w:tc>
          <w:tcPr>
            <w:tcW w:w="109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多种害虫</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发生期</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18%杀虫双水剂</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500</w:t>
            </w:r>
            <w:r>
              <w:rPr>
                <w:rFonts w:asciiTheme="minorEastAsia" w:hAnsiTheme="minorEastAsia" w:cs="Times New Roman"/>
                <w:color w:val="000000"/>
                <w:kern w:val="0"/>
                <w:szCs w:val="21"/>
              </w:rPr>
              <w:t>～</w:t>
            </w:r>
            <w:r>
              <w:rPr>
                <w:rFonts w:asciiTheme="minorEastAsia" w:hAnsiTheme="minorEastAsia" w:hint="eastAsia"/>
                <w:color w:val="000000"/>
                <w:kern w:val="0"/>
                <w:szCs w:val="21"/>
              </w:rPr>
              <w:t>800倍液</w:t>
            </w:r>
          </w:p>
        </w:tc>
        <w:tc>
          <w:tcPr>
            <w:tcW w:w="1098" w:type="dxa"/>
            <w:vAlign w:val="center"/>
          </w:tcPr>
          <w:p w:rsidR="00786233" w:rsidRDefault="00CA0B92">
            <w:pPr>
              <w:widowControl/>
              <w:adjustRightInd w:val="0"/>
              <w:snapToGrid w:val="0"/>
              <w:jc w:val="center"/>
              <w:rPr>
                <w:rFonts w:asciiTheme="minorEastAsia" w:hAnsiTheme="minorEastAsia" w:cs="Times New Roman"/>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15</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蚜虫、害螨、食心虫</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发生期</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40%辛硫磷乳油</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1000</w:t>
            </w:r>
            <w:r>
              <w:rPr>
                <w:rFonts w:asciiTheme="minorEastAsia" w:hAnsiTheme="minorEastAsia" w:cs="Times New Roman"/>
                <w:color w:val="000000"/>
                <w:kern w:val="0"/>
                <w:szCs w:val="21"/>
              </w:rPr>
              <w:t>～</w:t>
            </w:r>
            <w:r>
              <w:rPr>
                <w:rFonts w:asciiTheme="minorEastAsia" w:hAnsiTheme="minorEastAsia" w:hint="eastAsia"/>
                <w:color w:val="000000"/>
                <w:kern w:val="0"/>
                <w:szCs w:val="21"/>
              </w:rPr>
              <w:t>2000倍液</w:t>
            </w:r>
          </w:p>
        </w:tc>
        <w:tc>
          <w:tcPr>
            <w:tcW w:w="1098" w:type="dxa"/>
            <w:vAlign w:val="center"/>
          </w:tcPr>
          <w:p w:rsidR="00786233" w:rsidRDefault="00CA0B92">
            <w:pPr>
              <w:widowControl/>
              <w:adjustRightInd w:val="0"/>
              <w:snapToGrid w:val="0"/>
              <w:jc w:val="center"/>
              <w:rPr>
                <w:rFonts w:asciiTheme="minorEastAsia" w:hAnsiTheme="minorEastAsia" w:cs="Times New Roman"/>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7</w:t>
            </w:r>
          </w:p>
        </w:tc>
      </w:tr>
      <w:tr w:rsidR="00786233">
        <w:trPr>
          <w:trHeight w:val="454"/>
          <w:jc w:val="center"/>
        </w:trPr>
        <w:tc>
          <w:tcPr>
            <w:tcW w:w="1559"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梨小食心虫</w:t>
            </w:r>
          </w:p>
        </w:tc>
        <w:tc>
          <w:tcPr>
            <w:tcW w:w="1560"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产卵高峰至卵孵化高峰</w:t>
            </w:r>
          </w:p>
        </w:tc>
        <w:tc>
          <w:tcPr>
            <w:tcW w:w="1807"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30%茚虫威悬浮剂</w:t>
            </w:r>
          </w:p>
        </w:tc>
        <w:tc>
          <w:tcPr>
            <w:tcW w:w="1908"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8000</w:t>
            </w:r>
            <w:r>
              <w:rPr>
                <w:rFonts w:asciiTheme="minorEastAsia" w:hAnsiTheme="minorEastAsia" w:cs="Times New Roman"/>
                <w:color w:val="000000"/>
                <w:kern w:val="0"/>
                <w:szCs w:val="21"/>
              </w:rPr>
              <w:t>～</w:t>
            </w:r>
            <w:r>
              <w:rPr>
                <w:rFonts w:asciiTheme="minorEastAsia" w:hAnsiTheme="minorEastAsia" w:cs="Times New Roman" w:hint="eastAsia"/>
                <w:color w:val="000000"/>
                <w:kern w:val="0"/>
                <w:szCs w:val="21"/>
              </w:rPr>
              <w:t>10</w:t>
            </w:r>
            <w:r>
              <w:rPr>
                <w:rFonts w:asciiTheme="minorEastAsia" w:hAnsiTheme="minorEastAsia" w:hint="eastAsia"/>
                <w:color w:val="000000"/>
                <w:kern w:val="0"/>
                <w:szCs w:val="21"/>
              </w:rPr>
              <w:t>000倍液</w:t>
            </w:r>
          </w:p>
        </w:tc>
        <w:tc>
          <w:tcPr>
            <w:tcW w:w="1098" w:type="dxa"/>
            <w:vAlign w:val="center"/>
          </w:tcPr>
          <w:p w:rsidR="00786233" w:rsidRDefault="00CA0B92">
            <w:pPr>
              <w:widowControl/>
              <w:adjustRightInd w:val="0"/>
              <w:snapToGrid w:val="0"/>
              <w:jc w:val="center"/>
              <w:rPr>
                <w:rFonts w:asciiTheme="minorEastAsia" w:hAnsiTheme="minorEastAsia" w:cs="Times New Roman"/>
                <w:color w:val="000000"/>
                <w:kern w:val="0"/>
                <w:szCs w:val="21"/>
              </w:rPr>
            </w:pPr>
            <w:r>
              <w:rPr>
                <w:rFonts w:asciiTheme="minorEastAsia" w:hAnsiTheme="minorEastAsia" w:cs="Times New Roman"/>
                <w:color w:val="000000"/>
                <w:kern w:val="0"/>
                <w:szCs w:val="21"/>
              </w:rPr>
              <w:t>喷雾</w:t>
            </w:r>
          </w:p>
        </w:tc>
        <w:tc>
          <w:tcPr>
            <w:tcW w:w="1304" w:type="dxa"/>
            <w:vAlign w:val="center"/>
          </w:tcPr>
          <w:p w:rsidR="00786233" w:rsidRDefault="00CA0B92">
            <w:pPr>
              <w:widowControl/>
              <w:adjustRightInd w:val="0"/>
              <w:snapToGrid w:val="0"/>
              <w:jc w:val="center"/>
              <w:rPr>
                <w:rFonts w:asciiTheme="minorEastAsia" w:hAnsiTheme="minorEastAsia"/>
                <w:color w:val="000000"/>
                <w:kern w:val="0"/>
                <w:szCs w:val="21"/>
              </w:rPr>
            </w:pPr>
            <w:r>
              <w:rPr>
                <w:rFonts w:asciiTheme="minorEastAsia" w:hAnsiTheme="minorEastAsia" w:hint="eastAsia"/>
                <w:color w:val="000000"/>
                <w:kern w:val="0"/>
                <w:szCs w:val="21"/>
              </w:rPr>
              <w:t>21</w:t>
            </w:r>
          </w:p>
        </w:tc>
      </w:tr>
      <w:tr w:rsidR="00786233">
        <w:trPr>
          <w:trHeight w:val="454"/>
          <w:jc w:val="center"/>
        </w:trPr>
        <w:tc>
          <w:tcPr>
            <w:tcW w:w="9236" w:type="dxa"/>
            <w:gridSpan w:val="6"/>
            <w:vAlign w:val="center"/>
          </w:tcPr>
          <w:p w:rsidR="00786233" w:rsidRDefault="00CA0B92">
            <w:pPr>
              <w:widowControl/>
              <w:adjustRightInd w:val="0"/>
              <w:snapToGrid w:val="0"/>
              <w:rPr>
                <w:rFonts w:asciiTheme="minorEastAsia" w:hAnsiTheme="minorEastAsia"/>
                <w:color w:val="000000"/>
                <w:kern w:val="0"/>
                <w:szCs w:val="21"/>
              </w:rPr>
            </w:pPr>
            <w:r>
              <w:rPr>
                <w:rFonts w:asciiTheme="minorEastAsia" w:hAnsiTheme="minorEastAsia" w:hint="eastAsia"/>
                <w:color w:val="000000"/>
                <w:kern w:val="0"/>
                <w:szCs w:val="21"/>
              </w:rPr>
              <w:t>注：农药使用应以最新版本NY/T 393的规定为准。</w:t>
            </w:r>
          </w:p>
        </w:tc>
      </w:tr>
    </w:tbl>
    <w:p w:rsidR="00786233" w:rsidRDefault="00786233">
      <w:pPr>
        <w:jc w:val="center"/>
      </w:pPr>
    </w:p>
    <w:p w:rsidR="00786233" w:rsidRDefault="00CA0B92">
      <w:pPr>
        <w:pStyle w:val="aa"/>
        <w:spacing w:beforeLines="50" w:before="156" w:afterLines="50" w:after="156" w:line="400" w:lineRule="exact"/>
        <w:ind w:firstLine="420"/>
        <w:jc w:val="center"/>
        <w:rPr>
          <w:rFonts w:asciiTheme="majorEastAsia" w:eastAsiaTheme="majorEastAsia" w:hAnsiTheme="majorEastAsia" w:cstheme="majorEastAsia"/>
          <w:szCs w:val="21"/>
        </w:rPr>
      </w:pPr>
      <w:r>
        <w:rPr>
          <w:noProof/>
        </w:rPr>
        <w:drawing>
          <wp:inline distT="0" distB="0" distL="114300" distR="114300">
            <wp:extent cx="1504950" cy="19050"/>
            <wp:effectExtent l="0" t="0" r="3810" b="3810"/>
            <wp:docPr id="3" name="图片 1" descr="说明: endline"/>
            <wp:cNvGraphicFramePr/>
            <a:graphic xmlns:a="http://schemas.openxmlformats.org/drawingml/2006/main">
              <a:graphicData uri="http://schemas.openxmlformats.org/drawingml/2006/picture">
                <pic:pic xmlns:pic="http://schemas.openxmlformats.org/drawingml/2006/picture">
                  <pic:nvPicPr>
                    <pic:cNvPr id="3" name="图片 1" descr="说明: endline"/>
                    <pic:cNvPicPr/>
                  </pic:nvPicPr>
                  <pic:blipFill>
                    <a:blip r:embed="rId15"/>
                    <a:stretch>
                      <a:fillRect/>
                    </a:stretch>
                  </pic:blipFill>
                  <pic:spPr>
                    <a:xfrm>
                      <a:off x="0" y="0"/>
                      <a:ext cx="1504950" cy="19050"/>
                    </a:xfrm>
                    <a:prstGeom prst="rect">
                      <a:avLst/>
                    </a:prstGeom>
                    <a:noFill/>
                    <a:ln>
                      <a:noFill/>
                    </a:ln>
                  </pic:spPr>
                </pic:pic>
              </a:graphicData>
            </a:graphic>
          </wp:inline>
        </w:drawing>
      </w:r>
    </w:p>
    <w:sectPr w:rsidR="00786233">
      <w:footerReference w:type="default" r:id="rId1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846" w:rsidRDefault="00305846">
      <w:r>
        <w:separator/>
      </w:r>
    </w:p>
  </w:endnote>
  <w:endnote w:type="continuationSeparator" w:id="0">
    <w:p w:rsidR="00305846" w:rsidRDefault="0030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8983009"/>
    </w:sdtPr>
    <w:sdtEndPr/>
    <w:sdtContent>
      <w:p w:rsidR="00786233" w:rsidRDefault="00CA0B92">
        <w:pPr>
          <w:pStyle w:val="a7"/>
        </w:pPr>
        <w:r>
          <w:fldChar w:fldCharType="begin"/>
        </w:r>
        <w:r>
          <w:instrText>PAGE   \* MERGEFORMAT</w:instrText>
        </w:r>
        <w:r>
          <w:fldChar w:fldCharType="separate"/>
        </w:r>
        <w:r w:rsidR="004137B0" w:rsidRPr="004137B0">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233" w:rsidRDefault="00786233">
    <w:pPr>
      <w:pStyle w:val="a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5745345"/>
    </w:sdtPr>
    <w:sdtEndPr/>
    <w:sdtContent>
      <w:p w:rsidR="00786233" w:rsidRDefault="00CA0B92">
        <w:pPr>
          <w:pStyle w:val="a7"/>
          <w:jc w:val="right"/>
        </w:pPr>
        <w:r>
          <w:fldChar w:fldCharType="begin"/>
        </w:r>
        <w:r>
          <w:instrText>PAGE   \* MERGEFORMAT</w:instrText>
        </w:r>
        <w:r>
          <w:fldChar w:fldCharType="separate"/>
        </w:r>
        <w:r>
          <w:rPr>
            <w:lang w:val="zh-CN"/>
          </w:rPr>
          <w:t>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233" w:rsidRDefault="00786233">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4094425"/>
    </w:sdtPr>
    <w:sdtEndPr/>
    <w:sdtContent>
      <w:p w:rsidR="00786233" w:rsidRDefault="00CA0B92">
        <w:pPr>
          <w:pStyle w:val="a7"/>
          <w:jc w:val="right"/>
        </w:pPr>
        <w:r>
          <w:fldChar w:fldCharType="begin"/>
        </w:r>
        <w:r>
          <w:instrText>PAGE   \* MERGEFORMAT</w:instrText>
        </w:r>
        <w:r>
          <w:fldChar w:fldCharType="separate"/>
        </w:r>
        <w:r w:rsidR="004137B0" w:rsidRPr="004137B0">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846" w:rsidRDefault="00305846">
      <w:r>
        <w:separator/>
      </w:r>
    </w:p>
  </w:footnote>
  <w:footnote w:type="continuationSeparator" w:id="0">
    <w:p w:rsidR="00305846" w:rsidRDefault="00305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233" w:rsidRDefault="00CA0B92">
    <w:pPr>
      <w:pStyle w:val="a8"/>
      <w:pBdr>
        <w:bottom w:val="none" w:sz="0" w:space="0" w:color="auto"/>
      </w:pBdr>
    </w:pP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73675" cy="4914900"/>
          <wp:effectExtent l="0" t="0" r="0" b="0"/>
          <wp:wrapNone/>
          <wp:docPr id="1" name="WordPictureWatermark35651517"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651517"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233" w:rsidRDefault="00CA0B92">
    <w:pPr>
      <w:pStyle w:val="a8"/>
      <w:pBdr>
        <w:bottom w:val="none" w:sz="0" w:space="0" w:color="auto"/>
      </w:pBdr>
    </w:pPr>
    <w:r>
      <w:rPr>
        <w:noProof/>
      </w:rP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273675" cy="4914900"/>
          <wp:effectExtent l="0" t="0" r="0" b="0"/>
          <wp:wrapNone/>
          <wp:docPr id="4" name="WordPictureWatermark35651518"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5651518"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233" w:rsidRDefault="00CA0B92">
    <w:pPr>
      <w:pStyle w:val="a8"/>
      <w:pBdr>
        <w:bottom w:val="none" w:sz="0" w:space="0" w:color="auto"/>
      </w:pBdr>
      <w:jc w:val="right"/>
      <w:rPr>
        <w:sz w:val="21"/>
        <w:szCs w:val="21"/>
      </w:rPr>
    </w:pPr>
    <w:r>
      <w:rPr>
        <w:rFonts w:eastAsia="黑体"/>
        <w:noProof/>
        <w:kern w:val="0"/>
        <w:sz w:val="21"/>
        <w:szCs w:val="21"/>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675" cy="4914900"/>
          <wp:effectExtent l="0" t="0" r="0" b="0"/>
          <wp:wrapNone/>
          <wp:docPr id="2" name="WordPictureWatermark35651516"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651516" descr="绿标png"/>
                  <pic:cNvPicPr>
                    <a:picLocks noChangeAspect="1"/>
                  </pic:cNvPicPr>
                </pic:nvPicPr>
                <pic:blipFill>
                  <a:blip r:embed="rId1">
                    <a:lum bright="70001" contrast="-70000"/>
                  </a:blip>
                  <a:stretch>
                    <a:fillRect/>
                  </a:stretch>
                </pic:blipFill>
                <pic:spPr>
                  <a:xfrm>
                    <a:off x="0" y="0"/>
                    <a:ext cx="5273675" cy="4914900"/>
                  </a:xfrm>
                  <a:prstGeom prst="rect">
                    <a:avLst/>
                  </a:prstGeom>
                  <a:noFill/>
                  <a:ln>
                    <a:noFill/>
                  </a:ln>
                </pic:spPr>
              </pic:pic>
            </a:graphicData>
          </a:graphic>
        </wp:anchor>
      </w:drawing>
    </w:r>
    <w:r>
      <w:rPr>
        <w:rFonts w:eastAsia="黑体"/>
        <w:kern w:val="0"/>
        <w:sz w:val="21"/>
        <w:szCs w:val="21"/>
      </w:rPr>
      <w:t>GFGC 20</w:t>
    </w:r>
    <w:r>
      <w:rPr>
        <w:rFonts w:ascii="黑体" w:eastAsia="黑体" w:hAnsi="黑体" w:cs="宋体" w:hint="eastAsia"/>
        <w:sz w:val="21"/>
        <w:szCs w:val="21"/>
      </w:rPr>
      <w:t>24</w:t>
    </w:r>
    <w:r>
      <w:rPr>
        <w:rFonts w:eastAsia="黑体"/>
        <w:kern w:val="0"/>
        <w:sz w:val="21"/>
        <w:szCs w:val="21"/>
      </w:rPr>
      <w:t>A</w:t>
    </w:r>
    <w:r>
      <w:rPr>
        <w:rFonts w:ascii="黑体" w:eastAsia="黑体" w:hAnsi="黑体" w:cs="宋体" w:hint="eastAsia"/>
        <w:sz w:val="21"/>
        <w:szCs w:val="21"/>
      </w:rPr>
      <w:t>276</w:t>
    </w:r>
  </w:p>
  <w:p w:rsidR="00786233" w:rsidRDefault="00786233">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MjExNTlkNmM5MzEwMGUwZTdhMGQ2MjhhZWY2NDMifQ=="/>
  </w:docVars>
  <w:rsids>
    <w:rsidRoot w:val="00F738EF"/>
    <w:rsid w:val="ABF53A0B"/>
    <w:rsid w:val="AD995801"/>
    <w:rsid w:val="AE5F4DAC"/>
    <w:rsid w:val="AFEFE14D"/>
    <w:rsid w:val="B5BBC7A5"/>
    <w:rsid w:val="B6F7A700"/>
    <w:rsid w:val="B7EF8169"/>
    <w:rsid w:val="BAE72E31"/>
    <w:rsid w:val="BCFDE6CE"/>
    <w:rsid w:val="BD5AF350"/>
    <w:rsid w:val="BDFE359B"/>
    <w:rsid w:val="BECC6CE4"/>
    <w:rsid w:val="BEFB8227"/>
    <w:rsid w:val="BFEF95AF"/>
    <w:rsid w:val="BFF59860"/>
    <w:rsid w:val="C6A77386"/>
    <w:rsid w:val="C7E51790"/>
    <w:rsid w:val="C7FB4590"/>
    <w:rsid w:val="C7FF1C25"/>
    <w:rsid w:val="CBF6EF54"/>
    <w:rsid w:val="CBFF2903"/>
    <w:rsid w:val="CCAFD55E"/>
    <w:rsid w:val="CD54D746"/>
    <w:rsid w:val="CE37FE73"/>
    <w:rsid w:val="CF7D848D"/>
    <w:rsid w:val="D1FBD044"/>
    <w:rsid w:val="D53B1534"/>
    <w:rsid w:val="D5BFEE65"/>
    <w:rsid w:val="D7CBCFFA"/>
    <w:rsid w:val="D9236036"/>
    <w:rsid w:val="D97F135F"/>
    <w:rsid w:val="DAFFAD65"/>
    <w:rsid w:val="DBDE1A30"/>
    <w:rsid w:val="DBEDFFF3"/>
    <w:rsid w:val="DBFF2F17"/>
    <w:rsid w:val="DDFD8609"/>
    <w:rsid w:val="DDFF0BAC"/>
    <w:rsid w:val="DE9F2B36"/>
    <w:rsid w:val="DECBD0F7"/>
    <w:rsid w:val="DEE563EB"/>
    <w:rsid w:val="DEEDFB1F"/>
    <w:rsid w:val="DEFF5958"/>
    <w:rsid w:val="DF96A4F9"/>
    <w:rsid w:val="DFBED4B8"/>
    <w:rsid w:val="DFD6BB09"/>
    <w:rsid w:val="DFFD3B32"/>
    <w:rsid w:val="DFFF7D3A"/>
    <w:rsid w:val="E0E76A66"/>
    <w:rsid w:val="E11DF865"/>
    <w:rsid w:val="E2911C73"/>
    <w:rsid w:val="E3B9ABF2"/>
    <w:rsid w:val="E3D240E2"/>
    <w:rsid w:val="E7FE0556"/>
    <w:rsid w:val="E7FF42A8"/>
    <w:rsid w:val="EBDF3565"/>
    <w:rsid w:val="EBEDB398"/>
    <w:rsid w:val="EDFF6E96"/>
    <w:rsid w:val="EF7D1786"/>
    <w:rsid w:val="EF961222"/>
    <w:rsid w:val="EFB710F1"/>
    <w:rsid w:val="EFFF25B3"/>
    <w:rsid w:val="F1DC2DE1"/>
    <w:rsid w:val="F1F911A0"/>
    <w:rsid w:val="F27DAEAF"/>
    <w:rsid w:val="F2D60336"/>
    <w:rsid w:val="F33732CD"/>
    <w:rsid w:val="F4FE5827"/>
    <w:rsid w:val="F4FF5306"/>
    <w:rsid w:val="F5FBAE26"/>
    <w:rsid w:val="F6BB0998"/>
    <w:rsid w:val="F6FFE035"/>
    <w:rsid w:val="F73FCAA7"/>
    <w:rsid w:val="F78748E6"/>
    <w:rsid w:val="F79AE544"/>
    <w:rsid w:val="F7B4703E"/>
    <w:rsid w:val="F7BF5AB6"/>
    <w:rsid w:val="F7CFC661"/>
    <w:rsid w:val="F7DF6E9E"/>
    <w:rsid w:val="F7F3D691"/>
    <w:rsid w:val="F7FE8D6A"/>
    <w:rsid w:val="FA621B86"/>
    <w:rsid w:val="FAFF8229"/>
    <w:rsid w:val="FB7F125B"/>
    <w:rsid w:val="FBBDDB85"/>
    <w:rsid w:val="FBDEFEEA"/>
    <w:rsid w:val="FBF737D7"/>
    <w:rsid w:val="FBF7587E"/>
    <w:rsid w:val="FBFD138C"/>
    <w:rsid w:val="FBFE9C23"/>
    <w:rsid w:val="FBFF4048"/>
    <w:rsid w:val="FBFF4E33"/>
    <w:rsid w:val="FBFFD920"/>
    <w:rsid w:val="FCF56A33"/>
    <w:rsid w:val="FCFB3D75"/>
    <w:rsid w:val="FD3787F4"/>
    <w:rsid w:val="FD5AAAA5"/>
    <w:rsid w:val="FD77EBA8"/>
    <w:rsid w:val="FDEF793D"/>
    <w:rsid w:val="FDFFDE09"/>
    <w:rsid w:val="FE6D17E6"/>
    <w:rsid w:val="FEB73110"/>
    <w:rsid w:val="FEF7DFD2"/>
    <w:rsid w:val="FEFD3FC5"/>
    <w:rsid w:val="FEFDE25F"/>
    <w:rsid w:val="FEFEB61D"/>
    <w:rsid w:val="FF47248C"/>
    <w:rsid w:val="FF5E8F22"/>
    <w:rsid w:val="FF62B906"/>
    <w:rsid w:val="FF67CEBF"/>
    <w:rsid w:val="FF6FDA06"/>
    <w:rsid w:val="FF7EB08C"/>
    <w:rsid w:val="FF7F6311"/>
    <w:rsid w:val="FF7F6833"/>
    <w:rsid w:val="FF8775C4"/>
    <w:rsid w:val="FFB9275E"/>
    <w:rsid w:val="FFBAECBD"/>
    <w:rsid w:val="FFBF0396"/>
    <w:rsid w:val="FFC4012F"/>
    <w:rsid w:val="FFCD24C5"/>
    <w:rsid w:val="FFCF4CF4"/>
    <w:rsid w:val="FFD37278"/>
    <w:rsid w:val="FFD67F4F"/>
    <w:rsid w:val="FFDD3949"/>
    <w:rsid w:val="FFDD6506"/>
    <w:rsid w:val="FFDEA1F1"/>
    <w:rsid w:val="FFE36D9E"/>
    <w:rsid w:val="FFEC69B4"/>
    <w:rsid w:val="FFF30DF3"/>
    <w:rsid w:val="FFF43B7D"/>
    <w:rsid w:val="FFF5218A"/>
    <w:rsid w:val="FFF63E1F"/>
    <w:rsid w:val="FFF7852E"/>
    <w:rsid w:val="FFF798EC"/>
    <w:rsid w:val="FFF7E42E"/>
    <w:rsid w:val="FFFBBC3A"/>
    <w:rsid w:val="FFFCC936"/>
    <w:rsid w:val="FFFDAE2C"/>
    <w:rsid w:val="00041F40"/>
    <w:rsid w:val="0004250C"/>
    <w:rsid w:val="000530C3"/>
    <w:rsid w:val="000555BF"/>
    <w:rsid w:val="00094CE2"/>
    <w:rsid w:val="000C2635"/>
    <w:rsid w:val="00141E4D"/>
    <w:rsid w:val="001478F4"/>
    <w:rsid w:val="00252402"/>
    <w:rsid w:val="00293072"/>
    <w:rsid w:val="00305846"/>
    <w:rsid w:val="003174E0"/>
    <w:rsid w:val="0032428C"/>
    <w:rsid w:val="003A2FAF"/>
    <w:rsid w:val="004137B0"/>
    <w:rsid w:val="00460D16"/>
    <w:rsid w:val="004A1F0E"/>
    <w:rsid w:val="004D453D"/>
    <w:rsid w:val="00517D57"/>
    <w:rsid w:val="00524370"/>
    <w:rsid w:val="00542281"/>
    <w:rsid w:val="005605F1"/>
    <w:rsid w:val="00570063"/>
    <w:rsid w:val="0057620B"/>
    <w:rsid w:val="005E13F2"/>
    <w:rsid w:val="00610FB7"/>
    <w:rsid w:val="00625E41"/>
    <w:rsid w:val="00635447"/>
    <w:rsid w:val="00771FB8"/>
    <w:rsid w:val="00786233"/>
    <w:rsid w:val="007C42C6"/>
    <w:rsid w:val="007D37E7"/>
    <w:rsid w:val="007E3899"/>
    <w:rsid w:val="0081365B"/>
    <w:rsid w:val="008954D1"/>
    <w:rsid w:val="00900E1E"/>
    <w:rsid w:val="00946CA8"/>
    <w:rsid w:val="009E6D78"/>
    <w:rsid w:val="009E7223"/>
    <w:rsid w:val="00A064CF"/>
    <w:rsid w:val="00AC488E"/>
    <w:rsid w:val="00B525E1"/>
    <w:rsid w:val="00BA354B"/>
    <w:rsid w:val="00BC5D65"/>
    <w:rsid w:val="00C47816"/>
    <w:rsid w:val="00C632C8"/>
    <w:rsid w:val="00CA0B92"/>
    <w:rsid w:val="00CC518C"/>
    <w:rsid w:val="00D006EE"/>
    <w:rsid w:val="00D2051F"/>
    <w:rsid w:val="00D30F29"/>
    <w:rsid w:val="00D419A8"/>
    <w:rsid w:val="00D904A1"/>
    <w:rsid w:val="00DD0F0D"/>
    <w:rsid w:val="00E47169"/>
    <w:rsid w:val="00E74AAC"/>
    <w:rsid w:val="00ED06D8"/>
    <w:rsid w:val="00ED3EF6"/>
    <w:rsid w:val="00ED5F3C"/>
    <w:rsid w:val="00EF0950"/>
    <w:rsid w:val="00F738EF"/>
    <w:rsid w:val="00FA1FE0"/>
    <w:rsid w:val="00FF1E93"/>
    <w:rsid w:val="01302199"/>
    <w:rsid w:val="018372E9"/>
    <w:rsid w:val="02367F8F"/>
    <w:rsid w:val="02CD6752"/>
    <w:rsid w:val="03B03841"/>
    <w:rsid w:val="045E405C"/>
    <w:rsid w:val="04A63ECF"/>
    <w:rsid w:val="04DC643E"/>
    <w:rsid w:val="069074E0"/>
    <w:rsid w:val="071C03CC"/>
    <w:rsid w:val="07B547D1"/>
    <w:rsid w:val="07CA1CDB"/>
    <w:rsid w:val="0A183EA3"/>
    <w:rsid w:val="0A6842D0"/>
    <w:rsid w:val="0A8530D4"/>
    <w:rsid w:val="0C303CC8"/>
    <w:rsid w:val="0CAD2564"/>
    <w:rsid w:val="0E7C24A3"/>
    <w:rsid w:val="0F017E58"/>
    <w:rsid w:val="0F2700A3"/>
    <w:rsid w:val="0F7F5057"/>
    <w:rsid w:val="0FBF1664"/>
    <w:rsid w:val="101E05E5"/>
    <w:rsid w:val="10A74266"/>
    <w:rsid w:val="117466BD"/>
    <w:rsid w:val="135F09A4"/>
    <w:rsid w:val="136D54A6"/>
    <w:rsid w:val="153951E6"/>
    <w:rsid w:val="15944A4A"/>
    <w:rsid w:val="15BC146E"/>
    <w:rsid w:val="176518F8"/>
    <w:rsid w:val="17FF439F"/>
    <w:rsid w:val="18B0330F"/>
    <w:rsid w:val="19F56E38"/>
    <w:rsid w:val="1AC770FE"/>
    <w:rsid w:val="1C2F8077"/>
    <w:rsid w:val="1CF4745C"/>
    <w:rsid w:val="1D1D719C"/>
    <w:rsid w:val="1DB93DBF"/>
    <w:rsid w:val="1DEFA724"/>
    <w:rsid w:val="1FB72DAF"/>
    <w:rsid w:val="1FE7F8EF"/>
    <w:rsid w:val="20D858B3"/>
    <w:rsid w:val="222048D1"/>
    <w:rsid w:val="23AE0B4E"/>
    <w:rsid w:val="23B811BB"/>
    <w:rsid w:val="240A7101"/>
    <w:rsid w:val="246501B2"/>
    <w:rsid w:val="252F5F84"/>
    <w:rsid w:val="255C0E44"/>
    <w:rsid w:val="257FF545"/>
    <w:rsid w:val="26044497"/>
    <w:rsid w:val="26E507F8"/>
    <w:rsid w:val="273D2D05"/>
    <w:rsid w:val="27ED9360"/>
    <w:rsid w:val="280C22E7"/>
    <w:rsid w:val="2823085B"/>
    <w:rsid w:val="293F5D0E"/>
    <w:rsid w:val="295A0DDD"/>
    <w:rsid w:val="29DB4A3E"/>
    <w:rsid w:val="2AE23DCB"/>
    <w:rsid w:val="2B76EE14"/>
    <w:rsid w:val="2BED238C"/>
    <w:rsid w:val="2D191146"/>
    <w:rsid w:val="2DDE9321"/>
    <w:rsid w:val="2EA0500A"/>
    <w:rsid w:val="2EDE0530"/>
    <w:rsid w:val="2FF53618"/>
    <w:rsid w:val="2FF6D582"/>
    <w:rsid w:val="2FFF971C"/>
    <w:rsid w:val="31684F64"/>
    <w:rsid w:val="31A47DCF"/>
    <w:rsid w:val="31FDCFD0"/>
    <w:rsid w:val="327942D6"/>
    <w:rsid w:val="32FC6D95"/>
    <w:rsid w:val="339166E3"/>
    <w:rsid w:val="34622E67"/>
    <w:rsid w:val="351F7AFD"/>
    <w:rsid w:val="35770CDA"/>
    <w:rsid w:val="36FF5E9E"/>
    <w:rsid w:val="376A83E7"/>
    <w:rsid w:val="37EF8B20"/>
    <w:rsid w:val="37FF7478"/>
    <w:rsid w:val="397321C6"/>
    <w:rsid w:val="39811BD0"/>
    <w:rsid w:val="39B765AB"/>
    <w:rsid w:val="3AE354DB"/>
    <w:rsid w:val="3B7BE414"/>
    <w:rsid w:val="3BFF52C0"/>
    <w:rsid w:val="3C3F80F6"/>
    <w:rsid w:val="3C461E13"/>
    <w:rsid w:val="3CCD3944"/>
    <w:rsid w:val="3CD17B1C"/>
    <w:rsid w:val="3D1FE471"/>
    <w:rsid w:val="3EBFA58A"/>
    <w:rsid w:val="3EEF17FA"/>
    <w:rsid w:val="3EF73A44"/>
    <w:rsid w:val="3EFF1E34"/>
    <w:rsid w:val="3FA5FD05"/>
    <w:rsid w:val="3FB1A35A"/>
    <w:rsid w:val="3FCD1C2D"/>
    <w:rsid w:val="3FD9CA7B"/>
    <w:rsid w:val="3FDF1DC0"/>
    <w:rsid w:val="40B121CA"/>
    <w:rsid w:val="40D118D1"/>
    <w:rsid w:val="41F65C7A"/>
    <w:rsid w:val="428808A0"/>
    <w:rsid w:val="446F7A2D"/>
    <w:rsid w:val="45FA27BB"/>
    <w:rsid w:val="46167FBB"/>
    <w:rsid w:val="46250CEB"/>
    <w:rsid w:val="462D316D"/>
    <w:rsid w:val="468927A9"/>
    <w:rsid w:val="475D9D51"/>
    <w:rsid w:val="479B56D0"/>
    <w:rsid w:val="486B290F"/>
    <w:rsid w:val="488772EB"/>
    <w:rsid w:val="48F540BD"/>
    <w:rsid w:val="49EF03A8"/>
    <w:rsid w:val="4B7E83A2"/>
    <w:rsid w:val="4BC002A9"/>
    <w:rsid w:val="4BE23923"/>
    <w:rsid w:val="4C134946"/>
    <w:rsid w:val="4D1F0243"/>
    <w:rsid w:val="4DB505B2"/>
    <w:rsid w:val="4E789EA8"/>
    <w:rsid w:val="4E7E079F"/>
    <w:rsid w:val="4EE7917D"/>
    <w:rsid w:val="4F5E39AC"/>
    <w:rsid w:val="4F654D53"/>
    <w:rsid w:val="4F7EDC1D"/>
    <w:rsid w:val="4FFFE672"/>
    <w:rsid w:val="514559CF"/>
    <w:rsid w:val="520613A4"/>
    <w:rsid w:val="529A65F6"/>
    <w:rsid w:val="52AD5E4D"/>
    <w:rsid w:val="543B4F76"/>
    <w:rsid w:val="549E2395"/>
    <w:rsid w:val="54A43723"/>
    <w:rsid w:val="55FCC12D"/>
    <w:rsid w:val="55FFEF08"/>
    <w:rsid w:val="56EEBEF2"/>
    <w:rsid w:val="56FB94FE"/>
    <w:rsid w:val="571444FF"/>
    <w:rsid w:val="576F75B7"/>
    <w:rsid w:val="5773C3C9"/>
    <w:rsid w:val="57F83D87"/>
    <w:rsid w:val="597936DB"/>
    <w:rsid w:val="5A0C4A03"/>
    <w:rsid w:val="5A37F298"/>
    <w:rsid w:val="5B031974"/>
    <w:rsid w:val="5B1A64ED"/>
    <w:rsid w:val="5BAB63C0"/>
    <w:rsid w:val="5CFE19F0"/>
    <w:rsid w:val="5D4A34CD"/>
    <w:rsid w:val="5D7F9A5D"/>
    <w:rsid w:val="5DA4088C"/>
    <w:rsid w:val="5DD72A11"/>
    <w:rsid w:val="5E0F22F9"/>
    <w:rsid w:val="5E800D5D"/>
    <w:rsid w:val="5EBF2212"/>
    <w:rsid w:val="5EF6D456"/>
    <w:rsid w:val="5EFD004B"/>
    <w:rsid w:val="5F5D1FEE"/>
    <w:rsid w:val="5F5E8C04"/>
    <w:rsid w:val="5F7B4CBA"/>
    <w:rsid w:val="5F7F25F5"/>
    <w:rsid w:val="5FACFAF4"/>
    <w:rsid w:val="5FB9FC2B"/>
    <w:rsid w:val="5FE7B74B"/>
    <w:rsid w:val="5FF75028"/>
    <w:rsid w:val="5FF7BC07"/>
    <w:rsid w:val="5FFB4CF9"/>
    <w:rsid w:val="5FFF8DF2"/>
    <w:rsid w:val="60967E19"/>
    <w:rsid w:val="627E745A"/>
    <w:rsid w:val="62CC31D5"/>
    <w:rsid w:val="63CE4319"/>
    <w:rsid w:val="64A76B96"/>
    <w:rsid w:val="64B49E01"/>
    <w:rsid w:val="64D051A2"/>
    <w:rsid w:val="65817895"/>
    <w:rsid w:val="6687C0BE"/>
    <w:rsid w:val="66DC0340"/>
    <w:rsid w:val="66FE6715"/>
    <w:rsid w:val="676DF2C8"/>
    <w:rsid w:val="67AF8FEA"/>
    <w:rsid w:val="67BCB9A5"/>
    <w:rsid w:val="67CF1C95"/>
    <w:rsid w:val="69116DCE"/>
    <w:rsid w:val="69BBBAEA"/>
    <w:rsid w:val="6A6D445F"/>
    <w:rsid w:val="6ADF57BC"/>
    <w:rsid w:val="6BDDADDF"/>
    <w:rsid w:val="6BFFA886"/>
    <w:rsid w:val="6CAD67A4"/>
    <w:rsid w:val="6D112F3C"/>
    <w:rsid w:val="6D6BB73B"/>
    <w:rsid w:val="6DF39F24"/>
    <w:rsid w:val="6DFC19E9"/>
    <w:rsid w:val="6DFDF2F4"/>
    <w:rsid w:val="6E3D3F6F"/>
    <w:rsid w:val="6E533D98"/>
    <w:rsid w:val="6ED00D4D"/>
    <w:rsid w:val="6EFDF7AC"/>
    <w:rsid w:val="6F7E22ED"/>
    <w:rsid w:val="6F7FF68C"/>
    <w:rsid w:val="6FA2A5BC"/>
    <w:rsid w:val="6FA70108"/>
    <w:rsid w:val="6FAC6582"/>
    <w:rsid w:val="6FBF39C2"/>
    <w:rsid w:val="6FDBCD97"/>
    <w:rsid w:val="6FDFADD8"/>
    <w:rsid w:val="6FEFEA2A"/>
    <w:rsid w:val="70454CF1"/>
    <w:rsid w:val="708C1DF5"/>
    <w:rsid w:val="71E9E859"/>
    <w:rsid w:val="71FF6D05"/>
    <w:rsid w:val="71FF89FF"/>
    <w:rsid w:val="71FF9658"/>
    <w:rsid w:val="722E12D5"/>
    <w:rsid w:val="7265055A"/>
    <w:rsid w:val="726B4944"/>
    <w:rsid w:val="72AB9916"/>
    <w:rsid w:val="72F50BC8"/>
    <w:rsid w:val="73EF5D66"/>
    <w:rsid w:val="74063D07"/>
    <w:rsid w:val="748C1DB2"/>
    <w:rsid w:val="74FE075A"/>
    <w:rsid w:val="75044D01"/>
    <w:rsid w:val="751002ED"/>
    <w:rsid w:val="757DE775"/>
    <w:rsid w:val="759FD92A"/>
    <w:rsid w:val="75FFB62D"/>
    <w:rsid w:val="763D05E0"/>
    <w:rsid w:val="767DFC0C"/>
    <w:rsid w:val="76894936"/>
    <w:rsid w:val="76DDAA10"/>
    <w:rsid w:val="776F97B3"/>
    <w:rsid w:val="777D48DA"/>
    <w:rsid w:val="777FC1FD"/>
    <w:rsid w:val="77BCDC5A"/>
    <w:rsid w:val="77C3D97E"/>
    <w:rsid w:val="77DEBF4E"/>
    <w:rsid w:val="77EB4DDE"/>
    <w:rsid w:val="77EF583F"/>
    <w:rsid w:val="77F3C3CD"/>
    <w:rsid w:val="77FDD202"/>
    <w:rsid w:val="77FFAAAD"/>
    <w:rsid w:val="78BBBB0B"/>
    <w:rsid w:val="79130C58"/>
    <w:rsid w:val="793709C1"/>
    <w:rsid w:val="79374C0B"/>
    <w:rsid w:val="793E83CE"/>
    <w:rsid w:val="79D41054"/>
    <w:rsid w:val="7A077031"/>
    <w:rsid w:val="7ADF4950"/>
    <w:rsid w:val="7AFA3DF7"/>
    <w:rsid w:val="7AFB9356"/>
    <w:rsid w:val="7B3E3055"/>
    <w:rsid w:val="7B7F7D41"/>
    <w:rsid w:val="7BBDA6D7"/>
    <w:rsid w:val="7BC40083"/>
    <w:rsid w:val="7BD68687"/>
    <w:rsid w:val="7BFB4815"/>
    <w:rsid w:val="7BFF05E7"/>
    <w:rsid w:val="7BFFBD62"/>
    <w:rsid w:val="7C6F9C0F"/>
    <w:rsid w:val="7C6FA7DF"/>
    <w:rsid w:val="7CAF1D62"/>
    <w:rsid w:val="7CBA0C8E"/>
    <w:rsid w:val="7D600FA5"/>
    <w:rsid w:val="7D6E9506"/>
    <w:rsid w:val="7D927E87"/>
    <w:rsid w:val="7DCE42CC"/>
    <w:rsid w:val="7DEB7E19"/>
    <w:rsid w:val="7DFE09EE"/>
    <w:rsid w:val="7E1D7201"/>
    <w:rsid w:val="7E4FEFD2"/>
    <w:rsid w:val="7E5F5194"/>
    <w:rsid w:val="7E7D0847"/>
    <w:rsid w:val="7E7E7BA4"/>
    <w:rsid w:val="7E9FCB01"/>
    <w:rsid w:val="7EAF218B"/>
    <w:rsid w:val="7EBF3279"/>
    <w:rsid w:val="7EC44641"/>
    <w:rsid w:val="7EFC2F04"/>
    <w:rsid w:val="7F232593"/>
    <w:rsid w:val="7F27C3CF"/>
    <w:rsid w:val="7F8FE040"/>
    <w:rsid w:val="7FBB3B8B"/>
    <w:rsid w:val="7FBFB747"/>
    <w:rsid w:val="7FC65FA0"/>
    <w:rsid w:val="7FCF706E"/>
    <w:rsid w:val="7FE9CDB1"/>
    <w:rsid w:val="7FEE7C61"/>
    <w:rsid w:val="7FF3733D"/>
    <w:rsid w:val="7FF7AB0B"/>
    <w:rsid w:val="7FF7B3E5"/>
    <w:rsid w:val="7FF91E29"/>
    <w:rsid w:val="7FF9C125"/>
    <w:rsid w:val="7FFB47A1"/>
    <w:rsid w:val="7FFB66E1"/>
    <w:rsid w:val="7FFB964B"/>
    <w:rsid w:val="7FFD8DA7"/>
    <w:rsid w:val="7FFF0C08"/>
    <w:rsid w:val="7FFFB7B4"/>
    <w:rsid w:val="7FFFDC83"/>
    <w:rsid w:val="81BF9134"/>
    <w:rsid w:val="83A4DCD3"/>
    <w:rsid w:val="8FE165C6"/>
    <w:rsid w:val="97FA5C52"/>
    <w:rsid w:val="98AE9B74"/>
    <w:rsid w:val="9B66EAD6"/>
    <w:rsid w:val="9D7B08DD"/>
    <w:rsid w:val="9DEE77F5"/>
    <w:rsid w:val="9F3BD76D"/>
    <w:rsid w:val="9FBD5151"/>
    <w:rsid w:val="9FBE0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CF02502-B352-4ABF-B5FB-9B87A183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0"/>
    <w:qFormat/>
    <w:rsid w:val="009E7223"/>
    <w:pPr>
      <w:adjustRightInd w:val="0"/>
      <w:snapToGrid w:val="0"/>
      <w:spacing w:line="360" w:lineRule="auto"/>
      <w:jc w:val="left"/>
      <w:outlineLvl w:val="0"/>
    </w:pPr>
    <w:rPr>
      <w:rFonts w:ascii="黑体" w:eastAsia="黑体" w:hAnsi="黑体" w:cs="Times New Roman" w:hint="eastAsia"/>
      <w:kern w:val="44"/>
      <w:szCs w:val="48"/>
    </w:rPr>
  </w:style>
  <w:style w:type="paragraph" w:styleId="2">
    <w:name w:val="heading 2"/>
    <w:basedOn w:val="a0"/>
    <w:next w:val="a0"/>
    <w:unhideWhenUsed/>
    <w:qFormat/>
    <w:rsid w:val="009E7223"/>
    <w:pPr>
      <w:adjustRightInd w:val="0"/>
      <w:snapToGrid w:val="0"/>
      <w:spacing w:line="360" w:lineRule="auto"/>
      <w:jc w:val="left"/>
      <w:outlineLvl w:val="1"/>
    </w:pPr>
    <w:rPr>
      <w:rFonts w:ascii="黑体" w:eastAsia="黑体" w:hAnsi="黑体" w:cs="Times New Roman" w:hint="eastAsia"/>
      <w:bCs/>
      <w:kern w:val="0"/>
      <w:szCs w:val="36"/>
    </w:rPr>
  </w:style>
  <w:style w:type="paragraph" w:styleId="3">
    <w:name w:val="heading 3"/>
    <w:basedOn w:val="a0"/>
    <w:next w:val="a0"/>
    <w:link w:val="3Char"/>
    <w:unhideWhenUsed/>
    <w:qFormat/>
    <w:rsid w:val="009E7223"/>
    <w:pPr>
      <w:keepNext/>
      <w:keepLines/>
      <w:adjustRightInd w:val="0"/>
      <w:snapToGrid w:val="0"/>
      <w:spacing w:line="360" w:lineRule="auto"/>
      <w:outlineLvl w:val="2"/>
    </w:pPr>
    <w:rPr>
      <w:rFonts w:ascii="黑体" w:eastAsia="黑体" w:hAnsi="黑体"/>
      <w:bCs/>
      <w:szCs w:val="32"/>
    </w:rPr>
  </w:style>
  <w:style w:type="paragraph" w:styleId="4">
    <w:name w:val="heading 4"/>
    <w:basedOn w:val="a0"/>
    <w:next w:val="a0"/>
    <w:link w:val="4Char"/>
    <w:unhideWhenUsed/>
    <w:qFormat/>
    <w:rsid w:val="009E7223"/>
    <w:pPr>
      <w:keepNext/>
      <w:keepLines/>
      <w:adjustRightInd w:val="0"/>
      <w:snapToGrid w:val="0"/>
      <w:spacing w:line="360" w:lineRule="auto"/>
      <w:outlineLvl w:val="3"/>
    </w:pPr>
    <w:rPr>
      <w:rFonts w:ascii="黑体" w:eastAsia="黑体" w:hAnsi="黑体" w:cstheme="majorBidi"/>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qFormat/>
    <w:pPr>
      <w:jc w:val="left"/>
    </w:pPr>
  </w:style>
  <w:style w:type="paragraph" w:styleId="a5">
    <w:name w:val="Body Text"/>
    <w:basedOn w:val="a0"/>
    <w:uiPriority w:val="1"/>
    <w:qFormat/>
    <w:rPr>
      <w:rFonts w:ascii="宋体" w:eastAsia="宋体" w:hAnsi="宋体" w:cs="宋体"/>
      <w:szCs w:val="21"/>
    </w:rPr>
  </w:style>
  <w:style w:type="paragraph" w:styleId="a6">
    <w:name w:val="Balloon Text"/>
    <w:basedOn w:val="a0"/>
    <w:link w:val="Char"/>
    <w:qFormat/>
    <w:rPr>
      <w:sz w:val="18"/>
      <w:szCs w:val="18"/>
    </w:rPr>
  </w:style>
  <w:style w:type="paragraph" w:styleId="a7">
    <w:name w:val="footer"/>
    <w:basedOn w:val="a0"/>
    <w:link w:val="Char0"/>
    <w:uiPriority w:val="99"/>
    <w:qFormat/>
    <w:pPr>
      <w:tabs>
        <w:tab w:val="center" w:pos="4153"/>
        <w:tab w:val="right" w:pos="8306"/>
      </w:tabs>
      <w:snapToGrid w:val="0"/>
      <w:jc w:val="left"/>
    </w:pPr>
    <w:rPr>
      <w:sz w:val="18"/>
    </w:rPr>
  </w:style>
  <w:style w:type="paragraph" w:styleId="a8">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9">
    <w:name w:val="Table Grid"/>
    <w:basedOn w:val="a2"/>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列出段落1"/>
    <w:basedOn w:val="a0"/>
    <w:qFormat/>
    <w:pPr>
      <w:ind w:firstLineChars="200" w:firstLine="420"/>
    </w:pPr>
    <w:rPr>
      <w:rFonts w:ascii="Times New Roman" w:eastAsia="宋体" w:hAnsi="Times New Roman" w:cs="Times New Roman"/>
      <w:szCs w:val="21"/>
    </w:rPr>
  </w:style>
  <w:style w:type="paragraph" w:customStyle="1" w:styleId="aa">
    <w:name w:val="段"/>
    <w:qFormat/>
    <w:pPr>
      <w:autoSpaceDE w:val="0"/>
      <w:autoSpaceDN w:val="0"/>
      <w:ind w:firstLineChars="200" w:firstLine="200"/>
      <w:jc w:val="both"/>
    </w:pPr>
    <w:rPr>
      <w:rFonts w:ascii="宋体"/>
      <w:sz w:val="21"/>
    </w:rPr>
  </w:style>
  <w:style w:type="paragraph" w:styleId="ab">
    <w:name w:val="List Paragraph"/>
    <w:basedOn w:val="a0"/>
    <w:uiPriority w:val="1"/>
    <w:qFormat/>
    <w:pPr>
      <w:ind w:left="853" w:hanging="735"/>
    </w:pPr>
    <w:rPr>
      <w:rFonts w:ascii="黑体" w:eastAsia="黑体" w:hAnsi="黑体" w:cs="黑体"/>
    </w:rPr>
  </w:style>
  <w:style w:type="character" w:customStyle="1" w:styleId="Char">
    <w:name w:val="批注框文本 Char"/>
    <w:basedOn w:val="a1"/>
    <w:link w:val="a6"/>
    <w:qFormat/>
    <w:rPr>
      <w:rFonts w:asciiTheme="minorHAnsi" w:eastAsiaTheme="minorEastAsia" w:hAnsiTheme="minorHAnsi" w:cstheme="minorBidi"/>
      <w:kern w:val="2"/>
      <w:sz w:val="18"/>
      <w:szCs w:val="18"/>
    </w:rPr>
  </w:style>
  <w:style w:type="paragraph" w:customStyle="1" w:styleId="a">
    <w:name w:val="标准文件_二级条标题"/>
    <w:next w:val="ac"/>
    <w:qFormat/>
    <w:pPr>
      <w:widowControl w:val="0"/>
      <w:numPr>
        <w:ilvl w:val="3"/>
        <w:numId w:val="1"/>
      </w:numPr>
      <w:spacing w:beforeLines="50" w:before="50" w:afterLines="50" w:after="50"/>
      <w:jc w:val="both"/>
      <w:outlineLvl w:val="2"/>
    </w:pPr>
    <w:rPr>
      <w:rFonts w:ascii="黑体" w:eastAsia="黑体"/>
      <w:sz w:val="21"/>
    </w:rPr>
  </w:style>
  <w:style w:type="paragraph" w:customStyle="1" w:styleId="ac">
    <w:name w:val="标准文件_段"/>
    <w:qFormat/>
    <w:pPr>
      <w:autoSpaceDE w:val="0"/>
      <w:autoSpaceDN w:val="0"/>
      <w:ind w:firstLineChars="200" w:firstLine="200"/>
      <w:jc w:val="both"/>
    </w:pPr>
    <w:rPr>
      <w:rFonts w:ascii="宋体"/>
      <w:sz w:val="21"/>
    </w:rPr>
  </w:style>
  <w:style w:type="character" w:customStyle="1" w:styleId="Char0">
    <w:name w:val="页脚 Char"/>
    <w:basedOn w:val="a1"/>
    <w:link w:val="a7"/>
    <w:uiPriority w:val="99"/>
    <w:qFormat/>
    <w:rPr>
      <w:rFonts w:asciiTheme="minorHAnsi" w:eastAsiaTheme="minorEastAsia" w:hAnsiTheme="minorHAnsi" w:cstheme="minorBidi"/>
      <w:kern w:val="2"/>
      <w:sz w:val="18"/>
      <w:szCs w:val="24"/>
    </w:rPr>
  </w:style>
  <w:style w:type="paragraph" w:customStyle="1" w:styleId="ad">
    <w:name w:val="章标题"/>
    <w:next w:val="aa"/>
    <w:qFormat/>
    <w:pPr>
      <w:tabs>
        <w:tab w:val="left" w:pos="360"/>
      </w:tabs>
      <w:spacing w:beforeLines="50" w:afterLines="50"/>
      <w:ind w:left="426"/>
      <w:jc w:val="both"/>
      <w:outlineLvl w:val="1"/>
    </w:pPr>
    <w:rPr>
      <w:rFonts w:ascii="黑体" w:eastAsia="黑体"/>
      <w:sz w:val="21"/>
    </w:rPr>
  </w:style>
  <w:style w:type="character" w:customStyle="1" w:styleId="3Char">
    <w:name w:val="标题 3 Char"/>
    <w:basedOn w:val="a1"/>
    <w:link w:val="3"/>
    <w:rsid w:val="009E7223"/>
    <w:rPr>
      <w:rFonts w:ascii="黑体" w:eastAsia="黑体" w:hAnsi="黑体" w:cstheme="minorBidi"/>
      <w:bCs/>
      <w:kern w:val="2"/>
      <w:sz w:val="21"/>
      <w:szCs w:val="32"/>
    </w:rPr>
  </w:style>
  <w:style w:type="character" w:customStyle="1" w:styleId="4Char">
    <w:name w:val="标题 4 Char"/>
    <w:basedOn w:val="a1"/>
    <w:link w:val="4"/>
    <w:rsid w:val="009E7223"/>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Pages>
  <Words>1167</Words>
  <Characters>6656</Characters>
  <Application>Microsoft Office Word</Application>
  <DocSecurity>0</DocSecurity>
  <Lines>55</Lines>
  <Paragraphs>15</Paragraphs>
  <ScaleCrop>false</ScaleCrop>
  <Company>Microsoft</Company>
  <LinksUpToDate>false</LinksUpToDate>
  <CharactersWithSpaces>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马雪</cp:lastModifiedBy>
  <cp:revision>20</cp:revision>
  <cp:lastPrinted>2024-09-08T16:42:00Z</cp:lastPrinted>
  <dcterms:created xsi:type="dcterms:W3CDTF">2024-05-29T08:21:00Z</dcterms:created>
  <dcterms:modified xsi:type="dcterms:W3CDTF">2026-04-14T06:01:00Z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3255F27213A3439A96813AC8068563DE_13</vt:lpwstr>
  </property>
  <property fmtid="{D5CDD505-2E9C-101B-9397-08002B2CF9AE}" pid="4" name="KSOTemplateDocerSaveRecord">
    <vt:lpwstr>eyJoZGlkIjoiZmQ2ZjIxOWJmZmY2NTJkYzIyY2JiZmFjYzAxNmYzZGIiLCJ1c2VySWQiOiIzNTg0Njc5MjAifQ==</vt:lpwstr>
  </property>
</Properties>
</file>